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96" w:rsidRPr="00675084" w:rsidRDefault="007C657E" w:rsidP="00675084">
      <w:pPr>
        <w:jc w:val="center"/>
        <w:rPr>
          <w:rFonts w:ascii="Arial" w:hAnsi="Arial" w:cs="Arial"/>
          <w:b/>
          <w:sz w:val="36"/>
          <w:szCs w:val="36"/>
        </w:rPr>
      </w:pPr>
      <w:r>
        <w:rPr>
          <w:rFonts w:ascii="Arial" w:hAnsi="Arial" w:cs="Arial"/>
          <w:b/>
          <w:sz w:val="36"/>
          <w:szCs w:val="36"/>
        </w:rPr>
        <w:t>Practice Privacy Notice</w:t>
      </w:r>
      <w:r w:rsidR="00C54514">
        <w:rPr>
          <w:rFonts w:ascii="Arial" w:hAnsi="Arial" w:cs="Arial"/>
          <w:b/>
          <w:sz w:val="36"/>
          <w:szCs w:val="36"/>
        </w:rPr>
        <w:t xml:space="preserve"> (England)</w:t>
      </w:r>
    </w:p>
    <w:p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30"/>
        <w:gridCol w:w="2100"/>
        <w:gridCol w:w="3269"/>
      </w:tblGrid>
      <w:tr w:rsidR="00675084" w:rsidRPr="00CD3C24" w:rsidTr="004D6CEF">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0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26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4D6CEF" w:rsidRPr="00CD3C24" w:rsidTr="004D6CEF">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rsidR="004D6CEF" w:rsidRPr="001126F0" w:rsidRDefault="004D6CEF" w:rsidP="003604A8">
            <w:pPr>
              <w:jc w:val="center"/>
              <w:rPr>
                <w:rFonts w:ascii="Arial" w:eastAsia="Arial" w:hAnsi="Arial" w:cs="Arial"/>
                <w:spacing w:val="-2"/>
                <w:sz w:val="26"/>
                <w:szCs w:val="26"/>
              </w:rPr>
            </w:pPr>
            <w:r>
              <w:rPr>
                <w:rFonts w:ascii="Arial" w:eastAsia="Arial" w:hAnsi="Arial" w:cs="Arial"/>
                <w:spacing w:val="-2"/>
                <w:sz w:val="26"/>
                <w:szCs w:val="26"/>
              </w:rPr>
              <w:t>1</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23.05.2018</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Rebecca Unwin</w:t>
            </w:r>
          </w:p>
        </w:tc>
        <w:tc>
          <w:tcPr>
            <w:tcW w:w="2100"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Valerie Gibson</w:t>
            </w:r>
          </w:p>
        </w:tc>
        <w:tc>
          <w:tcPr>
            <w:tcW w:w="3269"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hAnsi="Arial" w:cs="Arial"/>
                <w:sz w:val="26"/>
                <w:szCs w:val="26"/>
              </w:rPr>
            </w:pPr>
            <w:r>
              <w:rPr>
                <w:rFonts w:ascii="Arial" w:hAnsi="Arial" w:cs="Arial"/>
                <w:sz w:val="26"/>
                <w:szCs w:val="26"/>
              </w:rPr>
              <w:t>To be reviewed in 1 year</w:t>
            </w:r>
          </w:p>
        </w:tc>
      </w:tr>
      <w:tr w:rsidR="00675084" w:rsidRPr="00CD3C24" w:rsidTr="004D6CEF">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2C065A">
            <w:pPr>
              <w:jc w:val="center"/>
              <w:rPr>
                <w:rFonts w:ascii="Arial" w:hAnsi="Arial" w:cs="Arial"/>
                <w:sz w:val="26"/>
                <w:szCs w:val="26"/>
              </w:rPr>
            </w:pPr>
            <w:r>
              <w:rPr>
                <w:rFonts w:ascii="Arial" w:hAnsi="Arial" w:cs="Arial"/>
                <w:sz w:val="26"/>
                <w:szCs w:val="26"/>
              </w:rPr>
              <w:t>2</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29.08.2019</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Rebecca Unwin</w:t>
            </w:r>
          </w:p>
        </w:tc>
        <w:tc>
          <w:tcPr>
            <w:tcW w:w="210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Valerie Gibson</w:t>
            </w:r>
          </w:p>
        </w:tc>
        <w:tc>
          <w:tcPr>
            <w:tcW w:w="3269"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To be reviewed in 1 year</w:t>
            </w:r>
          </w:p>
        </w:tc>
      </w:tr>
      <w:tr w:rsidR="00675084" w:rsidRPr="00CD3C24" w:rsidTr="004D6CEF">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8A1D86" w:rsidP="008A1D86">
            <w:pPr>
              <w:jc w:val="center"/>
              <w:rPr>
                <w:rFonts w:ascii="Arial" w:hAnsi="Arial" w:cs="Arial"/>
                <w:sz w:val="26"/>
                <w:szCs w:val="26"/>
              </w:rPr>
            </w:pPr>
            <w:r>
              <w:rPr>
                <w:rFonts w:ascii="Arial" w:hAnsi="Arial" w:cs="Arial"/>
                <w:sz w:val="26"/>
                <w:szCs w:val="26"/>
              </w:rPr>
              <w:t>3</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1B08AC" w:rsidP="00515291">
            <w:pPr>
              <w:rPr>
                <w:rFonts w:ascii="Arial" w:hAnsi="Arial" w:cs="Arial"/>
                <w:sz w:val="26"/>
                <w:szCs w:val="26"/>
              </w:rPr>
            </w:pPr>
            <w:r>
              <w:rPr>
                <w:rFonts w:ascii="Arial" w:hAnsi="Arial" w:cs="Arial"/>
                <w:sz w:val="26"/>
                <w:szCs w:val="26"/>
              </w:rPr>
              <w:t>19.05.</w:t>
            </w:r>
            <w:r w:rsidR="008A1D86">
              <w:rPr>
                <w:rFonts w:ascii="Arial" w:hAnsi="Arial" w:cs="Arial"/>
                <w:sz w:val="26"/>
                <w:szCs w:val="26"/>
              </w:rPr>
              <w:t>2021</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8A1D86" w:rsidP="00515291">
            <w:pPr>
              <w:rPr>
                <w:rFonts w:ascii="Arial" w:hAnsi="Arial" w:cs="Arial"/>
                <w:sz w:val="26"/>
                <w:szCs w:val="26"/>
              </w:rPr>
            </w:pPr>
            <w:r>
              <w:rPr>
                <w:rFonts w:ascii="Arial" w:hAnsi="Arial" w:cs="Arial"/>
                <w:sz w:val="26"/>
                <w:szCs w:val="26"/>
              </w:rPr>
              <w:t>Fiona Willis</w:t>
            </w:r>
          </w:p>
        </w:tc>
        <w:tc>
          <w:tcPr>
            <w:tcW w:w="210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817D0" w:rsidP="00515291">
            <w:pPr>
              <w:rPr>
                <w:rFonts w:ascii="Arial" w:hAnsi="Arial" w:cs="Arial"/>
                <w:sz w:val="26"/>
                <w:szCs w:val="26"/>
              </w:rPr>
            </w:pPr>
            <w:r>
              <w:rPr>
                <w:rFonts w:ascii="Arial" w:hAnsi="Arial" w:cs="Arial"/>
                <w:sz w:val="26"/>
                <w:szCs w:val="26"/>
              </w:rPr>
              <w:t>Valerie Gibson</w:t>
            </w:r>
          </w:p>
        </w:tc>
        <w:tc>
          <w:tcPr>
            <w:tcW w:w="3269"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817D0" w:rsidP="00515291">
            <w:pPr>
              <w:rPr>
                <w:rFonts w:ascii="Arial" w:hAnsi="Arial" w:cs="Arial"/>
                <w:sz w:val="26"/>
                <w:szCs w:val="26"/>
              </w:rPr>
            </w:pPr>
            <w:r>
              <w:rPr>
                <w:rFonts w:ascii="Arial" w:hAnsi="Arial" w:cs="Arial"/>
                <w:sz w:val="26"/>
                <w:szCs w:val="26"/>
              </w:rPr>
              <w:t>To be reviewed in 1 year</w:t>
            </w:r>
          </w:p>
        </w:tc>
      </w:tr>
      <w:tr w:rsidR="00675084" w:rsidRPr="00CD3C24" w:rsidTr="004D6CEF">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51D02" w:rsidP="00951D02">
            <w:pPr>
              <w:jc w:val="center"/>
              <w:rPr>
                <w:rFonts w:ascii="Arial" w:hAnsi="Arial" w:cs="Arial"/>
                <w:sz w:val="26"/>
                <w:szCs w:val="26"/>
              </w:rPr>
            </w:pPr>
            <w:r>
              <w:rPr>
                <w:rFonts w:ascii="Arial" w:hAnsi="Arial" w:cs="Arial"/>
                <w:sz w:val="26"/>
                <w:szCs w:val="26"/>
              </w:rPr>
              <w:t>4</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25</w:t>
            </w:r>
            <w:r w:rsidR="00951D02">
              <w:rPr>
                <w:rFonts w:ascii="Arial" w:hAnsi="Arial" w:cs="Arial"/>
                <w:sz w:val="26"/>
                <w:szCs w:val="26"/>
              </w:rPr>
              <w:t>.04.2022</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51D02" w:rsidP="00515291">
            <w:pPr>
              <w:rPr>
                <w:rFonts w:ascii="Arial" w:hAnsi="Arial" w:cs="Arial"/>
                <w:sz w:val="26"/>
                <w:szCs w:val="26"/>
              </w:rPr>
            </w:pPr>
            <w:r>
              <w:rPr>
                <w:rFonts w:ascii="Arial" w:hAnsi="Arial" w:cs="Arial"/>
                <w:sz w:val="26"/>
                <w:szCs w:val="26"/>
              </w:rPr>
              <w:t>Rebecca Unwin</w:t>
            </w:r>
          </w:p>
        </w:tc>
        <w:tc>
          <w:tcPr>
            <w:tcW w:w="210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Valerie Gibson</w:t>
            </w:r>
          </w:p>
        </w:tc>
        <w:tc>
          <w:tcPr>
            <w:tcW w:w="3269"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To be reviewed in 1 year</w:t>
            </w:r>
          </w:p>
        </w:tc>
      </w:tr>
    </w:tbl>
    <w:p w:rsidR="00E85096" w:rsidRDefault="001126F0" w:rsidP="001126F0">
      <w:pPr>
        <w:tabs>
          <w:tab w:val="left" w:pos="7536"/>
        </w:tabs>
        <w:rPr>
          <w:rFonts w:ascii="Arial" w:hAnsi="Arial" w:cs="Arial"/>
          <w:sz w:val="28"/>
          <w:szCs w:val="28"/>
        </w:rPr>
      </w:pPr>
      <w:r>
        <w:rPr>
          <w:rFonts w:ascii="Arial" w:hAnsi="Arial" w:cs="Arial"/>
          <w:sz w:val="28"/>
          <w:szCs w:val="28"/>
        </w:rPr>
        <w:tab/>
      </w:r>
    </w:p>
    <w:p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rsidR="00125D19" w:rsidRPr="0079049F" w:rsidRDefault="00D85E4D">
      <w:pPr>
        <w:pStyle w:val="TOC1"/>
        <w:tabs>
          <w:tab w:val="left" w:pos="440"/>
          <w:tab w:val="right" w:pos="8296"/>
        </w:tabs>
        <w:rPr>
          <w:rFonts w:ascii="Arial" w:eastAsiaTheme="minorEastAsia" w:hAnsi="Arial" w:cs="Arial"/>
          <w:b w:val="0"/>
          <w:bCs w:val="0"/>
          <w:caps w:val="0"/>
          <w:noProof/>
        </w:rPr>
      </w:pPr>
      <w:r w:rsidRPr="0079049F">
        <w:rPr>
          <w:rFonts w:ascii="Arial" w:hAnsi="Arial" w:cs="Arial"/>
          <w:b w:val="0"/>
          <w:sz w:val="20"/>
          <w:szCs w:val="28"/>
        </w:rPr>
        <w:fldChar w:fldCharType="begin"/>
      </w:r>
      <w:r w:rsidRPr="0079049F">
        <w:rPr>
          <w:rFonts w:ascii="Arial" w:hAnsi="Arial" w:cs="Arial"/>
          <w:b w:val="0"/>
          <w:sz w:val="20"/>
          <w:szCs w:val="28"/>
        </w:rPr>
        <w:instrText xml:space="preserve"> TOC \o "1-3" \h \z \u </w:instrText>
      </w:r>
      <w:r w:rsidRPr="0079049F">
        <w:rPr>
          <w:rFonts w:ascii="Arial" w:hAnsi="Arial" w:cs="Arial"/>
          <w:b w:val="0"/>
          <w:sz w:val="20"/>
          <w:szCs w:val="28"/>
        </w:rPr>
        <w:fldChar w:fldCharType="separate"/>
      </w:r>
      <w:hyperlink w:anchor="_Toc514091042" w:history="1">
        <w:r w:rsidR="00125D19" w:rsidRPr="0079049F">
          <w:rPr>
            <w:rStyle w:val="Hyperlink"/>
            <w:rFonts w:ascii="Arial" w:hAnsi="Arial" w:cs="Arial"/>
            <w:noProof/>
          </w:rPr>
          <w:t>1</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Introduction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_Toc514091042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3" w:history="1">
        <w:r w:rsidR="00125D19" w:rsidRPr="0079049F">
          <w:rPr>
            <w:rStyle w:val="Hyperlink"/>
            <w:rFonts w:ascii="Arial" w:hAnsi="Arial" w:cs="Arial"/>
            <w:noProof/>
          </w:rPr>
          <w:t>1.1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Policy statement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4" w:history="1">
        <w:r w:rsidR="00125D19" w:rsidRPr="0079049F">
          <w:rPr>
            <w:rStyle w:val="Hyperlink"/>
            <w:rFonts w:ascii="Arial" w:hAnsi="Arial" w:cs="Arial"/>
            <w:noProof/>
          </w:rPr>
          <w:t>1.2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Principles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5" w:history="1">
        <w:r w:rsidR="00125D19" w:rsidRPr="0079049F">
          <w:rPr>
            <w:rStyle w:val="Hyperlink"/>
            <w:rFonts w:ascii="Arial" w:hAnsi="Arial" w:cs="Arial"/>
            <w:noProof/>
          </w:rPr>
          <w:t>1.3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Status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6" w:history="1">
        <w:r w:rsidR="00125D19" w:rsidRPr="0079049F">
          <w:rPr>
            <w:rStyle w:val="Hyperlink"/>
            <w:rFonts w:ascii="Arial" w:hAnsi="Arial" w:cs="Arial"/>
            <w:noProof/>
          </w:rPr>
          <w:t>1.4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Training and support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1"/>
        <w:tabs>
          <w:tab w:val="left" w:pos="440"/>
          <w:tab w:val="right" w:pos="8296"/>
        </w:tabs>
        <w:rPr>
          <w:rFonts w:ascii="Arial" w:eastAsiaTheme="minorEastAsia" w:hAnsi="Arial" w:cs="Arial"/>
          <w:b w:val="0"/>
          <w:bCs w:val="0"/>
          <w:caps w:val="0"/>
          <w:noProof/>
        </w:rPr>
      </w:pPr>
      <w:hyperlink w:anchor="_Toc514091047" w:history="1">
        <w:r w:rsidR="00125D19" w:rsidRPr="0079049F">
          <w:rPr>
            <w:rStyle w:val="Hyperlink"/>
            <w:rFonts w:ascii="Arial" w:hAnsi="Arial" w:cs="Arial"/>
            <w:noProof/>
          </w:rPr>
          <w:t>2</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Scope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_Toc514091047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8" w:history="1">
        <w:r w:rsidR="00125D19" w:rsidRPr="0079049F">
          <w:rPr>
            <w:rStyle w:val="Hyperlink"/>
            <w:rFonts w:ascii="Arial" w:hAnsi="Arial" w:cs="Arial"/>
            <w:noProof/>
          </w:rPr>
          <w:t>2.1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Who it applies to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_Toc514091048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49" w:history="1">
        <w:r w:rsidR="00125D19" w:rsidRPr="0079049F">
          <w:rPr>
            <w:rStyle w:val="Hyperlink"/>
            <w:rFonts w:ascii="Arial" w:hAnsi="Arial" w:cs="Arial"/>
            <w:noProof/>
          </w:rPr>
          <w:t>2.2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Why and how it applies to them</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_Toc514091049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1"/>
        <w:tabs>
          <w:tab w:val="left" w:pos="440"/>
          <w:tab w:val="right" w:pos="8296"/>
        </w:tabs>
        <w:rPr>
          <w:rFonts w:ascii="Arial" w:eastAsiaTheme="minorEastAsia" w:hAnsi="Arial" w:cs="Arial"/>
          <w:b w:val="0"/>
          <w:bCs w:val="0"/>
          <w:caps w:val="0"/>
          <w:noProof/>
        </w:rPr>
      </w:pPr>
      <w:hyperlink w:anchor="_Toc514091050" w:history="1">
        <w:r w:rsidR="00125D19" w:rsidRPr="0079049F">
          <w:rPr>
            <w:rStyle w:val="Hyperlink"/>
            <w:rFonts w:ascii="Arial" w:hAnsi="Arial" w:cs="Arial"/>
            <w:noProof/>
          </w:rPr>
          <w:t>3</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Definition</w:t>
        </w:r>
        <w:r w:rsidR="00125D19" w:rsidRPr="0079049F">
          <w:rPr>
            <w:rStyle w:val="Hyperlink"/>
            <w:rFonts w:ascii="Arial" w:hAnsi="Arial" w:cs="Arial"/>
            <w:noProof/>
          </w:rPr>
          <w:t xml:space="preserve"> </w:t>
        </w:r>
        <w:r w:rsidR="00125D19" w:rsidRPr="0079049F">
          <w:rPr>
            <w:rStyle w:val="Hyperlink"/>
            <w:rFonts w:ascii="Arial" w:hAnsi="Arial" w:cs="Arial"/>
            <w:caps w:val="0"/>
            <w:noProof/>
          </w:rPr>
          <w:t>of terms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_Toc514091050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1" w:history="1">
        <w:r w:rsidR="00125D19" w:rsidRPr="0079049F">
          <w:rPr>
            <w:rStyle w:val="Hyperlink"/>
            <w:rFonts w:ascii="Arial" w:hAnsi="Arial" w:cs="Arial"/>
            <w:noProof/>
          </w:rPr>
          <w:t>3.1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_Toc514091051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2" w:history="1">
        <w:r w:rsidR="00125D19" w:rsidRPr="0079049F">
          <w:rPr>
            <w:rStyle w:val="Hyperlink"/>
            <w:rFonts w:ascii="Arial" w:hAnsi="Arial" w:cs="Arial"/>
            <w:noProof/>
          </w:rPr>
          <w:t>3.2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Protection Act 2018 (DPA18)</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_Toc514091052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3" w:history="1">
        <w:r w:rsidR="00125D19" w:rsidRPr="0079049F">
          <w:rPr>
            <w:rStyle w:val="Hyperlink"/>
            <w:rFonts w:ascii="Arial" w:hAnsi="Arial" w:cs="Arial"/>
            <w:noProof/>
          </w:rPr>
          <w:t>3.3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Information Commissioner’s Office (ICO)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4" w:history="1">
        <w:r w:rsidR="00125D19" w:rsidRPr="0079049F">
          <w:rPr>
            <w:rStyle w:val="Hyperlink"/>
            <w:rFonts w:ascii="Arial" w:hAnsi="Arial" w:cs="Arial"/>
            <w:noProof/>
          </w:rPr>
          <w:t>3.4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General Data Protection Regulation (GDPR)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5" w:history="1">
        <w:r w:rsidR="00125D19" w:rsidRPr="0079049F">
          <w:rPr>
            <w:rStyle w:val="Hyperlink"/>
            <w:rFonts w:ascii="Arial" w:hAnsi="Arial" w:cs="Arial"/>
            <w:noProof/>
          </w:rPr>
          <w:t>3.5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controller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6" w:history="1">
        <w:r w:rsidR="00125D19" w:rsidRPr="0079049F">
          <w:rPr>
            <w:rStyle w:val="Hyperlink"/>
            <w:rFonts w:ascii="Arial" w:hAnsi="Arial" w:cs="Arial"/>
            <w:noProof/>
          </w:rPr>
          <w:t>3.6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subject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315752">
      <w:pPr>
        <w:pStyle w:val="TOC1"/>
        <w:tabs>
          <w:tab w:val="left" w:pos="440"/>
          <w:tab w:val="right" w:pos="8296"/>
        </w:tabs>
        <w:rPr>
          <w:rFonts w:ascii="Arial" w:eastAsiaTheme="minorEastAsia" w:hAnsi="Arial" w:cs="Arial"/>
          <w:b w:val="0"/>
          <w:bCs w:val="0"/>
          <w:caps w:val="0"/>
          <w:noProof/>
        </w:rPr>
      </w:pPr>
      <w:hyperlink w:anchor="_Toc514091057" w:history="1">
        <w:r w:rsidR="00125D19" w:rsidRPr="0079049F">
          <w:rPr>
            <w:rStyle w:val="Hyperlink"/>
            <w:rFonts w:ascii="Arial" w:hAnsi="Arial" w:cs="Arial"/>
            <w:noProof/>
          </w:rPr>
          <w:t>4</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Compliance with regulations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_Toc514091057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8" w:history="1">
        <w:r w:rsidR="00125D19" w:rsidRPr="0079049F">
          <w:rPr>
            <w:rStyle w:val="Hyperlink"/>
            <w:rFonts w:ascii="Arial" w:hAnsi="Arial" w:cs="Arial"/>
            <w:noProof/>
          </w:rPr>
          <w:t>4.1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_Toc514091058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59" w:history="1">
        <w:r w:rsidR="00125D19" w:rsidRPr="0079049F">
          <w:rPr>
            <w:rStyle w:val="Hyperlink"/>
            <w:rFonts w:ascii="Arial" w:hAnsi="Arial" w:cs="Arial"/>
            <w:noProof/>
          </w:rPr>
          <w:t>4.2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Article 5 compliance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_Toc514091059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0" w:history="1">
        <w:r w:rsidR="00125D19" w:rsidRPr="0079049F">
          <w:rPr>
            <w:rStyle w:val="Hyperlink"/>
            <w:rFonts w:ascii="Arial" w:hAnsi="Arial" w:cs="Arial"/>
            <w:noProof/>
          </w:rPr>
          <w:t>4.3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Communicating privacy information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_Toc514091060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1" w:history="1">
        <w:r w:rsidR="00125D19" w:rsidRPr="0079049F">
          <w:rPr>
            <w:rStyle w:val="Hyperlink"/>
            <w:rFonts w:ascii="Arial" w:hAnsi="Arial" w:cs="Arial"/>
            <w:noProof/>
          </w:rPr>
          <w:t>4.4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What data will be collected?</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_Toc514091061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2" w:history="1">
        <w:r w:rsidR="00125D19" w:rsidRPr="0079049F">
          <w:rPr>
            <w:rStyle w:val="Hyperlink"/>
            <w:rFonts w:ascii="Arial" w:hAnsi="Arial" w:cs="Arial"/>
            <w:noProof/>
          </w:rPr>
          <w:t>4.5</w:t>
        </w:r>
        <w:r w:rsidR="00125D19" w:rsidRPr="0079049F">
          <w:rPr>
            <w:rFonts w:ascii="Arial" w:eastAsiaTheme="minorEastAsia" w:hAnsi="Arial" w:cs="Arial"/>
            <w:b w:val="0"/>
            <w:bCs w:val="0"/>
            <w:noProof/>
            <w:sz w:val="24"/>
            <w:szCs w:val="24"/>
          </w:rPr>
          <w:tab/>
        </w:r>
        <w:r w:rsidR="00125D19" w:rsidRPr="0079049F">
          <w:rPr>
            <w:rFonts w:ascii="Arial" w:hAnsi="Arial" w:cs="Arial"/>
            <w:noProof/>
            <w:webHidden/>
          </w:rPr>
          <w:tab/>
        </w:r>
      </w:hyperlink>
    </w:p>
    <w:p w:rsidR="00125D19" w:rsidRPr="0079049F" w:rsidRDefault="00315752">
      <w:pPr>
        <w:pStyle w:val="TOC2"/>
        <w:rPr>
          <w:rFonts w:ascii="Arial" w:eastAsiaTheme="minorEastAsia" w:hAnsi="Arial" w:cs="Arial"/>
          <w:b w:val="0"/>
          <w:bCs w:val="0"/>
          <w:noProof/>
          <w:sz w:val="24"/>
          <w:szCs w:val="24"/>
        </w:rPr>
      </w:pPr>
      <w:hyperlink w:anchor="_Toc514091063" w:history="1">
        <w:r w:rsidR="00125D19" w:rsidRPr="0079049F">
          <w:rPr>
            <w:rStyle w:val="Hyperlink"/>
            <w:rFonts w:ascii="Arial" w:hAnsi="Arial" w:cs="Arial"/>
            <w:noProof/>
          </w:rPr>
          <w:t>4.6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checklists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4" w:history="1">
        <w:r w:rsidR="00125D19" w:rsidRPr="0079049F">
          <w:rPr>
            <w:rStyle w:val="Hyperlink"/>
            <w:rFonts w:ascii="Arial" w:hAnsi="Arial" w:cs="Arial"/>
            <w:noProof/>
          </w:rPr>
          <w:t>4.7</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template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5" w:history="1">
        <w:r w:rsidR="00125D19" w:rsidRPr="0079049F">
          <w:rPr>
            <w:rStyle w:val="Hyperlink"/>
            <w:rFonts w:ascii="Arial" w:hAnsi="Arial" w:cs="Arial"/>
            <w:noProof/>
          </w:rPr>
          <w:t>4.8</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Summary</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315752">
      <w:pPr>
        <w:pStyle w:val="TOC2"/>
        <w:rPr>
          <w:rFonts w:ascii="Arial" w:eastAsiaTheme="minorEastAsia" w:hAnsi="Arial" w:cs="Arial"/>
          <w:b w:val="0"/>
          <w:bCs w:val="0"/>
          <w:noProof/>
          <w:sz w:val="24"/>
          <w:szCs w:val="24"/>
        </w:rPr>
      </w:pPr>
      <w:hyperlink w:anchor="_Toc514091066" w:history="1">
        <w:r w:rsidR="00125D19" w:rsidRPr="0079049F">
          <w:rPr>
            <w:rStyle w:val="Hyperlink"/>
            <w:rFonts w:ascii="Arial" w:hAnsi="Arial" w:cs="Arial"/>
            <w:noProof/>
          </w:rPr>
          <w:t>4.9</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Annex A – Practice 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6</w:t>
        </w:r>
        <w:r w:rsidR="00125D19" w:rsidRPr="0079049F">
          <w:rPr>
            <w:rFonts w:ascii="Arial" w:hAnsi="Arial" w:cs="Arial"/>
            <w:noProof/>
            <w:webHidden/>
          </w:rPr>
          <w:fldChar w:fldCharType="end"/>
        </w:r>
      </w:hyperlink>
    </w:p>
    <w:p w:rsidR="00D85E4D" w:rsidRPr="0079049F" w:rsidRDefault="00D85E4D" w:rsidP="000858D5">
      <w:pPr>
        <w:rPr>
          <w:rFonts w:ascii="Arial" w:hAnsi="Arial" w:cs="Arial"/>
          <w:sz w:val="20"/>
          <w:szCs w:val="28"/>
        </w:rPr>
      </w:pPr>
      <w:r w:rsidRPr="0079049F">
        <w:rPr>
          <w:rFonts w:ascii="Arial" w:hAnsi="Arial" w:cs="Arial"/>
          <w:sz w:val="20"/>
          <w:szCs w:val="28"/>
        </w:rPr>
        <w:fldChar w:fldCharType="end"/>
      </w:r>
    </w:p>
    <w:p w:rsidR="00D85E4D" w:rsidRDefault="00D85E4D">
      <w:pPr>
        <w:rPr>
          <w:rFonts w:ascii="Arial" w:hAnsi="Arial" w:cs="Arial"/>
          <w:sz w:val="28"/>
          <w:szCs w:val="28"/>
        </w:rPr>
      </w:pPr>
      <w:r>
        <w:rPr>
          <w:rFonts w:ascii="Arial" w:hAnsi="Arial" w:cs="Arial"/>
          <w:sz w:val="28"/>
          <w:szCs w:val="28"/>
        </w:rPr>
        <w:br w:type="page"/>
      </w:r>
    </w:p>
    <w:p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14091042"/>
      <w:r>
        <w:rPr>
          <w:sz w:val="28"/>
          <w:szCs w:val="28"/>
        </w:rPr>
        <w:lastRenderedPageBreak/>
        <w:t>Introduction</w:t>
      </w:r>
      <w:bookmarkEnd w:id="0"/>
    </w:p>
    <w:p w:rsidR="00044905" w:rsidRPr="00D05574" w:rsidRDefault="00D05574" w:rsidP="00044905">
      <w:pPr>
        <w:pStyle w:val="Heading2"/>
        <w:rPr>
          <w:rFonts w:ascii="Arial" w:hAnsi="Arial" w:cs="Arial"/>
          <w:smallCaps w:val="0"/>
          <w:sz w:val="24"/>
          <w:szCs w:val="24"/>
        </w:rPr>
      </w:pPr>
      <w:bookmarkStart w:id="1" w:name="_Toc495852825"/>
      <w:bookmarkStart w:id="2" w:name="_Toc514091043"/>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rsidR="00044905" w:rsidRPr="001A01D7" w:rsidRDefault="00044905" w:rsidP="00044905">
      <w:pPr>
        <w:rPr>
          <w:lang w:val="en-US"/>
        </w:rPr>
      </w:pPr>
    </w:p>
    <w:p w:rsidR="00044905" w:rsidRPr="0084568F" w:rsidRDefault="00AB62B0" w:rsidP="00044905">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p>
    <w:p w:rsidR="00730CC3" w:rsidRPr="0084568F" w:rsidRDefault="00730CC3" w:rsidP="00044905">
      <w:pPr>
        <w:rPr>
          <w:rFonts w:ascii="Arial" w:hAnsi="Arial" w:cs="Arial"/>
          <w:lang w:val="en-US"/>
        </w:rPr>
      </w:pPr>
    </w:p>
    <w:p w:rsidR="00730CC3"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Run the health service</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Manage epidemics</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Plan for the future</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Research health conditions, diseases and treatments</w:t>
      </w:r>
    </w:p>
    <w:p w:rsidR="00044905" w:rsidRPr="00D05574" w:rsidRDefault="00D05574" w:rsidP="00044905">
      <w:pPr>
        <w:pStyle w:val="Heading2"/>
        <w:rPr>
          <w:rFonts w:ascii="Arial" w:hAnsi="Arial" w:cs="Arial"/>
          <w:smallCaps w:val="0"/>
          <w:sz w:val="24"/>
          <w:szCs w:val="24"/>
        </w:rPr>
      </w:pPr>
      <w:bookmarkStart w:id="3" w:name="_Toc495852826"/>
      <w:bookmarkStart w:id="4"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3"/>
      <w:bookmarkEnd w:id="4"/>
    </w:p>
    <w:p w:rsidR="00044905" w:rsidRPr="00665D94" w:rsidRDefault="00044905" w:rsidP="00044905">
      <w:pPr>
        <w:rPr>
          <w:rFonts w:ascii="Arial" w:hAnsi="Arial" w:cs="Arial"/>
          <w:lang w:val="en-US"/>
        </w:rPr>
      </w:pPr>
    </w:p>
    <w:p w:rsidR="00044905" w:rsidRPr="00665D94" w:rsidRDefault="00730CC3" w:rsidP="00044905">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EE5EAE">
        <w:rPr>
          <w:rFonts w:ascii="Arial" w:hAnsi="Arial" w:cs="Arial"/>
          <w:lang w:val="en-US"/>
        </w:rPr>
        <w:t xml:space="preserve"> Similarly, the Memorial Medical Centre</w:t>
      </w:r>
      <w:r w:rsidR="00390205">
        <w:rPr>
          <w:rFonts w:ascii="Arial" w:hAnsi="Arial" w:cs="Arial"/>
          <w:lang w:val="en-US"/>
        </w:rPr>
        <w:t xml:space="preserve"> has a d</w:t>
      </w:r>
      <w:r w:rsidR="00046947">
        <w:rPr>
          <w:rFonts w:ascii="Arial" w:hAnsi="Arial" w:cs="Arial"/>
          <w:lang w:val="en-US"/>
        </w:rPr>
        <w:t>uty to advise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rsidR="00044905" w:rsidRPr="00965FEA" w:rsidRDefault="00965FEA" w:rsidP="00044905">
      <w:pPr>
        <w:pStyle w:val="Heading2"/>
        <w:rPr>
          <w:rFonts w:ascii="Arial" w:hAnsi="Arial" w:cs="Arial"/>
          <w:smallCaps w:val="0"/>
          <w:sz w:val="24"/>
          <w:szCs w:val="24"/>
        </w:rPr>
      </w:pPr>
      <w:bookmarkStart w:id="5" w:name="_Toc495852828"/>
      <w:bookmarkStart w:id="6"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p>
    <w:p w:rsidR="00044905" w:rsidRPr="00E53611" w:rsidRDefault="00044905" w:rsidP="00044905">
      <w:pPr>
        <w:rPr>
          <w:rFonts w:cstheme="minorHAnsi"/>
          <w:lang w:val="en-US"/>
        </w:rPr>
      </w:pPr>
    </w:p>
    <w:p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rsidR="00044905" w:rsidRPr="00665D94" w:rsidRDefault="00044905" w:rsidP="00044905">
      <w:pPr>
        <w:rPr>
          <w:rFonts w:ascii="Arial" w:hAnsi="Arial" w:cs="Arial"/>
          <w:lang w:val="en-US"/>
        </w:rPr>
      </w:pPr>
    </w:p>
    <w:p w:rsidR="00BE3256" w:rsidRPr="007F34FC" w:rsidRDefault="00BE3256" w:rsidP="00044905">
      <w:pPr>
        <w:rPr>
          <w:rFonts w:ascii="Arial" w:hAnsi="Arial" w:cs="Arial"/>
          <w:lang w:val="en-US"/>
        </w:rPr>
      </w:pPr>
      <w:r>
        <w:rPr>
          <w:rFonts w:ascii="Arial" w:hAnsi="Arial" w:cs="Arial"/>
          <w:lang w:val="en-US"/>
        </w:rPr>
        <w:t xml:space="preserve">This document and any procedures contained within it </w:t>
      </w:r>
      <w:r w:rsidR="00046947">
        <w:rPr>
          <w:rFonts w:ascii="Arial" w:hAnsi="Arial" w:cs="Arial"/>
          <w:lang w:val="en-US"/>
        </w:rPr>
        <w:t>are contractual and</w:t>
      </w:r>
      <w:r>
        <w:rPr>
          <w:rFonts w:ascii="Arial" w:hAnsi="Arial" w:cs="Arial"/>
          <w:lang w:val="en-US"/>
        </w:rPr>
        <w:t xml:space="preserve"> therefore form part of your con</w:t>
      </w:r>
      <w:r w:rsidR="00046947">
        <w:rPr>
          <w:rFonts w:ascii="Arial" w:hAnsi="Arial" w:cs="Arial"/>
          <w:lang w:val="en-US"/>
        </w:rPr>
        <w:t xml:space="preserve">tract of employment. </w:t>
      </w:r>
      <w:r>
        <w:rPr>
          <w:rFonts w:ascii="Arial" w:hAnsi="Arial" w:cs="Arial"/>
          <w:lang w:val="en-US"/>
        </w:rPr>
        <w:t>Employees will be consulted on any modifications or change to the document’s status.</w:t>
      </w:r>
    </w:p>
    <w:p w:rsidR="00044905" w:rsidRPr="00F454D3" w:rsidRDefault="00F454D3" w:rsidP="00044905">
      <w:pPr>
        <w:pStyle w:val="Heading2"/>
        <w:rPr>
          <w:rFonts w:ascii="Arial" w:hAnsi="Arial" w:cs="Arial"/>
          <w:smallCaps w:val="0"/>
          <w:sz w:val="24"/>
          <w:szCs w:val="24"/>
        </w:rPr>
      </w:pPr>
      <w:bookmarkStart w:id="7" w:name="_Toc495852829"/>
      <w:bookmarkStart w:id="8"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7"/>
      <w:bookmarkEnd w:id="8"/>
    </w:p>
    <w:p w:rsidR="00044905" w:rsidRDefault="00044905" w:rsidP="00044905">
      <w:pPr>
        <w:rPr>
          <w:lang w:val="en-US"/>
        </w:rPr>
      </w:pPr>
    </w:p>
    <w:p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9" w:name="_Toc495852830"/>
      <w:bookmarkStart w:id="10" w:name="_Toc514091047"/>
      <w:r>
        <w:rPr>
          <w:sz w:val="28"/>
          <w:szCs w:val="28"/>
        </w:rPr>
        <w:t>Scope</w:t>
      </w:r>
      <w:bookmarkEnd w:id="9"/>
      <w:bookmarkEnd w:id="10"/>
    </w:p>
    <w:p w:rsidR="00044905" w:rsidRPr="00F454D3" w:rsidRDefault="00F454D3" w:rsidP="00044905">
      <w:pPr>
        <w:pStyle w:val="Heading2"/>
        <w:rPr>
          <w:rFonts w:ascii="Arial" w:hAnsi="Arial" w:cs="Arial"/>
          <w:smallCaps w:val="0"/>
          <w:sz w:val="24"/>
          <w:szCs w:val="24"/>
        </w:rPr>
      </w:pPr>
      <w:bookmarkStart w:id="11" w:name="_Toc495852831"/>
      <w:bookmarkStart w:id="12" w:name="_Toc51409104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1"/>
      <w:bookmarkEnd w:id="12"/>
    </w:p>
    <w:p w:rsidR="00044905" w:rsidRPr="00F454D3" w:rsidRDefault="00044905" w:rsidP="00044905">
      <w:pPr>
        <w:rPr>
          <w:sz w:val="24"/>
          <w:szCs w:val="24"/>
          <w:lang w:val="en-US"/>
        </w:rPr>
      </w:pPr>
    </w:p>
    <w:p w:rsidR="00044905"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rsidR="00EE5EAE" w:rsidRPr="00665D94" w:rsidRDefault="00EE5EAE" w:rsidP="00044905">
      <w:pPr>
        <w:rPr>
          <w:rFonts w:ascii="Arial" w:hAnsi="Arial" w:cs="Arial"/>
          <w:lang w:val="en-US"/>
        </w:rPr>
      </w:pPr>
    </w:p>
    <w:p w:rsidR="00044905" w:rsidRPr="00F454D3" w:rsidRDefault="00F454D3" w:rsidP="00044905">
      <w:pPr>
        <w:pStyle w:val="Heading2"/>
        <w:rPr>
          <w:rFonts w:ascii="Arial" w:hAnsi="Arial" w:cs="Arial"/>
          <w:smallCaps w:val="0"/>
          <w:sz w:val="24"/>
          <w:szCs w:val="24"/>
        </w:rPr>
      </w:pPr>
      <w:bookmarkStart w:id="13" w:name="_Toc495852832"/>
      <w:bookmarkStart w:id="14" w:name="_Toc514091049"/>
      <w:r w:rsidRPr="00F454D3">
        <w:rPr>
          <w:rFonts w:ascii="Arial" w:hAnsi="Arial" w:cs="Arial"/>
          <w:smallCaps w:val="0"/>
          <w:sz w:val="24"/>
          <w:szCs w:val="24"/>
        </w:rPr>
        <w:lastRenderedPageBreak/>
        <w:t>W</w:t>
      </w:r>
      <w:r w:rsidR="00044905" w:rsidRPr="00F454D3">
        <w:rPr>
          <w:rFonts w:ascii="Arial" w:hAnsi="Arial" w:cs="Arial"/>
          <w:smallCaps w:val="0"/>
          <w:sz w:val="24"/>
          <w:szCs w:val="24"/>
        </w:rPr>
        <w:t xml:space="preserve">hy and how it applies to </w:t>
      </w:r>
      <w:bookmarkEnd w:id="13"/>
      <w:r w:rsidR="00046947">
        <w:rPr>
          <w:rFonts w:ascii="Arial" w:hAnsi="Arial" w:cs="Arial"/>
          <w:smallCaps w:val="0"/>
          <w:sz w:val="24"/>
          <w:szCs w:val="24"/>
        </w:rPr>
        <w:t>them</w:t>
      </w:r>
      <w:bookmarkEnd w:id="14"/>
    </w:p>
    <w:p w:rsidR="00044905" w:rsidRDefault="00044905" w:rsidP="00044905">
      <w:pPr>
        <w:rPr>
          <w:rFonts w:ascii="Arial" w:hAnsi="Arial" w:cs="Arial"/>
          <w:lang w:val="en-US"/>
        </w:rPr>
      </w:pPr>
    </w:p>
    <w:p w:rsidR="00044905" w:rsidRDefault="00044905" w:rsidP="00044905">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carers what information is collected, how that information may be used and with whom the practice will share that information.  </w:t>
      </w:r>
      <w:r w:rsidR="00BE3256">
        <w:rPr>
          <w:rFonts w:ascii="Arial" w:hAnsi="Arial" w:cs="Arial"/>
          <w:lang w:val="en-US"/>
        </w:rPr>
        <w:t xml:space="preserve">  </w:t>
      </w:r>
    </w:p>
    <w:p w:rsidR="00044905" w:rsidRPr="00665D94" w:rsidRDefault="00044905" w:rsidP="00044905">
      <w:pPr>
        <w:rPr>
          <w:rFonts w:ascii="Arial" w:hAnsi="Arial" w:cs="Arial"/>
          <w:lang w:val="en-US"/>
        </w:rPr>
      </w:pPr>
    </w:p>
    <w:p w:rsidR="00044905" w:rsidRDefault="009A603A" w:rsidP="00044905">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5" w:name="_Toc495852833"/>
      <w:bookmarkStart w:id="16" w:name="_Toc514091050"/>
      <w:r>
        <w:rPr>
          <w:sz w:val="28"/>
          <w:szCs w:val="28"/>
        </w:rPr>
        <w:t>Definition of terms</w:t>
      </w:r>
      <w:bookmarkEnd w:id="15"/>
      <w:bookmarkEnd w:id="16"/>
    </w:p>
    <w:p w:rsidR="00044905" w:rsidRPr="00C069CC" w:rsidRDefault="00046947" w:rsidP="00044905">
      <w:pPr>
        <w:pStyle w:val="Heading2"/>
        <w:rPr>
          <w:rFonts w:ascii="Arial" w:hAnsi="Arial" w:cs="Arial"/>
          <w:smallCaps w:val="0"/>
          <w:sz w:val="24"/>
          <w:szCs w:val="24"/>
        </w:rPr>
      </w:pPr>
      <w:bookmarkStart w:id="17" w:name="_Toc514091051"/>
      <w:r>
        <w:rPr>
          <w:rFonts w:ascii="Arial" w:hAnsi="Arial" w:cs="Arial"/>
          <w:smallCaps w:val="0"/>
          <w:sz w:val="24"/>
          <w:szCs w:val="24"/>
        </w:rPr>
        <w:t>Privacy n</w:t>
      </w:r>
      <w:r w:rsidR="009A603A">
        <w:rPr>
          <w:rFonts w:ascii="Arial" w:hAnsi="Arial" w:cs="Arial"/>
          <w:smallCaps w:val="0"/>
          <w:sz w:val="24"/>
          <w:szCs w:val="24"/>
        </w:rPr>
        <w:t>otice</w:t>
      </w:r>
      <w:bookmarkEnd w:id="17"/>
    </w:p>
    <w:p w:rsidR="00044905" w:rsidRDefault="00044905" w:rsidP="00044905">
      <w:pPr>
        <w:rPr>
          <w:rFonts w:ascii="Arial" w:hAnsi="Arial" w:cs="Arial"/>
          <w:lang w:val="en-US"/>
        </w:rPr>
      </w:pPr>
    </w:p>
    <w:p w:rsidR="00044905" w:rsidRPr="00FE3792" w:rsidRDefault="007869B6" w:rsidP="00044905">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rsidR="00044905" w:rsidRPr="004A4118" w:rsidRDefault="007869B6" w:rsidP="00044905">
      <w:pPr>
        <w:pStyle w:val="Heading2"/>
        <w:rPr>
          <w:rFonts w:ascii="Arial" w:hAnsi="Arial" w:cs="Arial"/>
          <w:smallCaps w:val="0"/>
          <w:sz w:val="24"/>
          <w:szCs w:val="24"/>
        </w:rPr>
      </w:pPr>
      <w:bookmarkStart w:id="18" w:name="_Toc514091052"/>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8"/>
    </w:p>
    <w:p w:rsidR="00044905" w:rsidRPr="004A4118" w:rsidRDefault="00044905" w:rsidP="00044905">
      <w:pPr>
        <w:rPr>
          <w:lang w:val="en-US"/>
        </w:rPr>
      </w:pPr>
    </w:p>
    <w:p w:rsidR="00044905" w:rsidRDefault="00C802F0" w:rsidP="00044905">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rsidR="00044905" w:rsidRPr="00C069CC" w:rsidRDefault="007869B6" w:rsidP="00044905">
      <w:pPr>
        <w:pStyle w:val="Heading2"/>
        <w:rPr>
          <w:rFonts w:ascii="Arial" w:hAnsi="Arial" w:cs="Arial"/>
          <w:smallCaps w:val="0"/>
          <w:sz w:val="24"/>
          <w:szCs w:val="24"/>
        </w:rPr>
      </w:pPr>
      <w:bookmarkStart w:id="19" w:name="_Toc514091053"/>
      <w:r>
        <w:rPr>
          <w:rFonts w:ascii="Arial" w:hAnsi="Arial" w:cs="Arial"/>
          <w:smallCaps w:val="0"/>
          <w:sz w:val="24"/>
          <w:szCs w:val="24"/>
        </w:rPr>
        <w:t>Information Commissioner’s Office (ICO)</w:t>
      </w:r>
      <w:bookmarkEnd w:id="19"/>
    </w:p>
    <w:p w:rsidR="00044905" w:rsidRDefault="00044905" w:rsidP="00044905">
      <w:pPr>
        <w:rPr>
          <w:rFonts w:ascii="Arial" w:hAnsi="Arial" w:cs="Arial"/>
          <w:lang w:val="en-US"/>
        </w:rPr>
      </w:pPr>
    </w:p>
    <w:p w:rsidR="007869B6" w:rsidRDefault="007869B6" w:rsidP="007869B6">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rsidR="007869B6" w:rsidRDefault="007869B6" w:rsidP="007869B6">
      <w:pPr>
        <w:pStyle w:val="Heading2"/>
        <w:rPr>
          <w:rFonts w:ascii="Arial" w:hAnsi="Arial" w:cs="Arial"/>
          <w:smallCaps w:val="0"/>
          <w:sz w:val="24"/>
          <w:szCs w:val="24"/>
        </w:rPr>
      </w:pPr>
      <w:bookmarkStart w:id="20" w:name="_Toc514091054"/>
      <w:r>
        <w:rPr>
          <w:rFonts w:ascii="Arial" w:hAnsi="Arial" w:cs="Arial"/>
          <w:smallCaps w:val="0"/>
          <w:sz w:val="24"/>
          <w:szCs w:val="24"/>
        </w:rPr>
        <w:t>General Data Protection Regulation (GDPR)</w:t>
      </w:r>
      <w:bookmarkEnd w:id="20"/>
    </w:p>
    <w:p w:rsidR="007869B6" w:rsidRDefault="007869B6" w:rsidP="007869B6">
      <w:pPr>
        <w:rPr>
          <w:lang w:val="en-US"/>
        </w:rPr>
      </w:pPr>
    </w:p>
    <w:p w:rsidR="007869B6" w:rsidRDefault="007869B6" w:rsidP="007869B6">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GDPR replaces the Data Protection Directive 95/46/EC and was designed to harmonise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r w:rsidR="004763A7">
        <w:rPr>
          <w:rFonts w:ascii="Arial" w:hAnsi="Arial" w:cs="Arial"/>
          <w:lang w:val="en-US"/>
        </w:rPr>
        <w:t>organisations across the</w:t>
      </w:r>
      <w:r w:rsidR="00046947">
        <w:rPr>
          <w:rFonts w:ascii="Arial" w:hAnsi="Arial" w:cs="Arial"/>
          <w:lang w:val="en-US"/>
        </w:rPr>
        <w:t xml:space="preserve"> region approach data privacy. </w:t>
      </w:r>
      <w:r w:rsidR="004763A7">
        <w:rPr>
          <w:rFonts w:ascii="Arial" w:hAnsi="Arial" w:cs="Arial"/>
          <w:lang w:val="en-US"/>
        </w:rPr>
        <w:t>The GPDR comes into effect</w:t>
      </w:r>
      <w:r w:rsidR="00046947">
        <w:rPr>
          <w:rFonts w:ascii="Arial" w:hAnsi="Arial" w:cs="Arial"/>
          <w:lang w:val="en-US"/>
        </w:rPr>
        <w:t xml:space="preserve"> on</w:t>
      </w:r>
      <w:r w:rsidR="004763A7">
        <w:rPr>
          <w:rFonts w:ascii="Arial" w:hAnsi="Arial" w:cs="Arial"/>
          <w:lang w:val="en-US"/>
        </w:rPr>
        <w:t xml:space="preserve"> </w:t>
      </w:r>
      <w:r w:rsidR="004763A7" w:rsidRPr="00C1542B">
        <w:rPr>
          <w:rFonts w:ascii="Arial" w:hAnsi="Arial" w:cs="Arial"/>
          <w:b/>
          <w:lang w:val="en-US"/>
        </w:rPr>
        <w:t>25 May 2018</w:t>
      </w:r>
      <w:r w:rsidR="004763A7">
        <w:rPr>
          <w:rFonts w:ascii="Arial" w:hAnsi="Arial" w:cs="Arial"/>
          <w:lang w:val="en-US"/>
        </w:rPr>
        <w:t xml:space="preserve">.  </w:t>
      </w:r>
    </w:p>
    <w:p w:rsidR="004F11CB" w:rsidRDefault="004F11CB" w:rsidP="007869B6">
      <w:pPr>
        <w:rPr>
          <w:rFonts w:ascii="Arial" w:hAnsi="Arial" w:cs="Arial"/>
          <w:lang w:val="en-US"/>
        </w:rPr>
      </w:pPr>
    </w:p>
    <w:p w:rsidR="004F11CB" w:rsidRDefault="00046947" w:rsidP="004F11CB">
      <w:pPr>
        <w:pStyle w:val="Heading2"/>
        <w:rPr>
          <w:rFonts w:ascii="Arial" w:hAnsi="Arial" w:cs="Arial"/>
          <w:smallCaps w:val="0"/>
          <w:sz w:val="24"/>
          <w:szCs w:val="24"/>
        </w:rPr>
      </w:pPr>
      <w:bookmarkStart w:id="21" w:name="_Toc514091055"/>
      <w:r>
        <w:rPr>
          <w:rFonts w:ascii="Arial" w:hAnsi="Arial" w:cs="Arial"/>
          <w:smallCaps w:val="0"/>
          <w:sz w:val="24"/>
          <w:szCs w:val="24"/>
        </w:rPr>
        <w:t>Data c</w:t>
      </w:r>
      <w:r w:rsidR="004F11CB">
        <w:rPr>
          <w:rFonts w:ascii="Arial" w:hAnsi="Arial" w:cs="Arial"/>
          <w:smallCaps w:val="0"/>
          <w:sz w:val="24"/>
          <w:szCs w:val="24"/>
        </w:rPr>
        <w:t>ontroller</w:t>
      </w:r>
      <w:bookmarkEnd w:id="21"/>
    </w:p>
    <w:p w:rsidR="004F11CB" w:rsidRDefault="004F11CB" w:rsidP="004F11CB">
      <w:pPr>
        <w:rPr>
          <w:lang w:val="en-US"/>
        </w:rPr>
      </w:pPr>
    </w:p>
    <w:p w:rsidR="00E542BA" w:rsidRPr="0020058A" w:rsidRDefault="00E542BA" w:rsidP="00E542BA">
      <w:pPr>
        <w:rPr>
          <w:rFonts w:ascii="Arial" w:hAnsi="Arial" w:cs="Arial"/>
          <w:lang w:val="en-US"/>
        </w:rPr>
      </w:pPr>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
    <w:p w:rsidR="001872B9" w:rsidRDefault="00046947" w:rsidP="001872B9">
      <w:pPr>
        <w:pStyle w:val="Heading2"/>
        <w:rPr>
          <w:rFonts w:ascii="Arial" w:hAnsi="Arial" w:cs="Arial"/>
          <w:smallCaps w:val="0"/>
          <w:sz w:val="24"/>
          <w:szCs w:val="24"/>
        </w:rPr>
      </w:pPr>
      <w:bookmarkStart w:id="22" w:name="_Toc514091056"/>
      <w:r>
        <w:rPr>
          <w:rFonts w:ascii="Arial" w:hAnsi="Arial" w:cs="Arial"/>
          <w:smallCaps w:val="0"/>
          <w:sz w:val="24"/>
          <w:szCs w:val="24"/>
        </w:rPr>
        <w:t>Data s</w:t>
      </w:r>
      <w:r w:rsidR="001872B9">
        <w:rPr>
          <w:rFonts w:ascii="Arial" w:hAnsi="Arial" w:cs="Arial"/>
          <w:smallCaps w:val="0"/>
          <w:sz w:val="24"/>
          <w:szCs w:val="24"/>
        </w:rPr>
        <w:t>ubject</w:t>
      </w:r>
      <w:bookmarkEnd w:id="22"/>
    </w:p>
    <w:p w:rsidR="001872B9" w:rsidRDefault="001872B9" w:rsidP="001872B9">
      <w:pPr>
        <w:rPr>
          <w:lang w:val="en-US"/>
        </w:rPr>
      </w:pPr>
    </w:p>
    <w:p w:rsidR="00E542BA" w:rsidRDefault="00E542BA" w:rsidP="00E542BA">
      <w:pPr>
        <w:rPr>
          <w:rFonts w:ascii="Arial" w:hAnsi="Arial" w:cs="Arial"/>
          <w:lang w:val="en-US"/>
        </w:rPr>
      </w:pPr>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
    <w:p w:rsidR="00EE5EAE" w:rsidRPr="0020058A" w:rsidRDefault="00EE5EAE" w:rsidP="00E542BA">
      <w:pPr>
        <w:rPr>
          <w:rFonts w:ascii="Arial" w:hAnsi="Arial" w:cs="Arial"/>
          <w:lang w:val="en-US"/>
        </w:rPr>
      </w:pPr>
    </w:p>
    <w:p w:rsidR="00044905" w:rsidRPr="000858D5" w:rsidRDefault="001872B9" w:rsidP="00044905">
      <w:pPr>
        <w:pStyle w:val="Heading1"/>
        <w:keepLines/>
        <w:pBdr>
          <w:bottom w:val="single" w:sz="4" w:space="1" w:color="595959" w:themeColor="text1" w:themeTint="A6"/>
        </w:pBdr>
        <w:spacing w:before="360" w:after="160" w:line="259" w:lineRule="auto"/>
        <w:rPr>
          <w:sz w:val="28"/>
          <w:szCs w:val="28"/>
        </w:rPr>
      </w:pPr>
      <w:bookmarkStart w:id="23" w:name="_Toc514091057"/>
      <w:r>
        <w:rPr>
          <w:sz w:val="28"/>
          <w:szCs w:val="28"/>
        </w:rPr>
        <w:t>Compliance with regulations</w:t>
      </w:r>
      <w:bookmarkEnd w:id="23"/>
    </w:p>
    <w:p w:rsidR="00044905" w:rsidRPr="000A4058" w:rsidRDefault="001872B9" w:rsidP="00044905">
      <w:pPr>
        <w:pStyle w:val="Heading2"/>
        <w:rPr>
          <w:rFonts w:ascii="Arial" w:hAnsi="Arial" w:cs="Arial"/>
          <w:smallCaps w:val="0"/>
          <w:sz w:val="24"/>
          <w:szCs w:val="24"/>
        </w:rPr>
      </w:pPr>
      <w:bookmarkStart w:id="24" w:name="_Toc514091058"/>
      <w:r>
        <w:rPr>
          <w:rFonts w:ascii="Arial" w:hAnsi="Arial" w:cs="Arial"/>
          <w:smallCaps w:val="0"/>
          <w:sz w:val="24"/>
          <w:szCs w:val="24"/>
        </w:rPr>
        <w:t>GDPR</w:t>
      </w:r>
      <w:bookmarkEnd w:id="24"/>
    </w:p>
    <w:p w:rsidR="00044905" w:rsidRPr="00C27620" w:rsidRDefault="00044905" w:rsidP="00044905">
      <w:pPr>
        <w:rPr>
          <w:lang w:val="en-US"/>
        </w:rPr>
      </w:pPr>
    </w:p>
    <w:p w:rsidR="000F50CE" w:rsidRDefault="001872B9" w:rsidP="00044905">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rsidR="001872B9" w:rsidRDefault="001872B9" w:rsidP="00044905">
      <w:pPr>
        <w:rPr>
          <w:rFonts w:ascii="Arial" w:hAnsi="Arial" w:cs="Arial"/>
          <w:lang w:val="en-US"/>
        </w:rPr>
      </w:pPr>
    </w:p>
    <w:p w:rsidR="001872B9" w:rsidRDefault="00041BCA" w:rsidP="001872B9">
      <w:pPr>
        <w:pStyle w:val="ListParagraph"/>
        <w:numPr>
          <w:ilvl w:val="0"/>
          <w:numId w:val="18"/>
        </w:numPr>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rsidR="001872B9" w:rsidRDefault="00041BCA" w:rsidP="001872B9">
      <w:pPr>
        <w:pStyle w:val="ListParagraph"/>
        <w:numPr>
          <w:ilvl w:val="0"/>
          <w:numId w:val="18"/>
        </w:numPr>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 and</w:t>
      </w:r>
    </w:p>
    <w:p w:rsidR="001872B9" w:rsidRPr="001872B9" w:rsidRDefault="00041BCA" w:rsidP="001872B9">
      <w:pPr>
        <w:pStyle w:val="ListParagraph"/>
        <w:numPr>
          <w:ilvl w:val="0"/>
          <w:numId w:val="18"/>
        </w:numPr>
        <w:rPr>
          <w:rFonts w:ascii="Arial" w:hAnsi="Arial" w:cs="Arial"/>
          <w:lang w:val="en-US"/>
        </w:rPr>
      </w:pPr>
      <w:r>
        <w:rPr>
          <w:rFonts w:ascii="Arial" w:hAnsi="Arial" w:cs="Arial"/>
          <w:lang w:val="en-US"/>
        </w:rPr>
        <w:t>F</w:t>
      </w:r>
      <w:r w:rsidR="001872B9">
        <w:rPr>
          <w:rFonts w:ascii="Arial" w:hAnsi="Arial" w:cs="Arial"/>
          <w:lang w:val="en-US"/>
        </w:rPr>
        <w:t>ree of charge</w:t>
      </w:r>
    </w:p>
    <w:p w:rsidR="002D18C1" w:rsidRPr="00173C64" w:rsidRDefault="004270ED" w:rsidP="002D18C1">
      <w:pPr>
        <w:pStyle w:val="Heading2"/>
        <w:rPr>
          <w:rFonts w:ascii="Arial" w:hAnsi="Arial" w:cs="Arial"/>
          <w:smallCaps w:val="0"/>
          <w:sz w:val="24"/>
          <w:szCs w:val="24"/>
        </w:rPr>
      </w:pPr>
      <w:bookmarkStart w:id="25" w:name="_Toc514091059"/>
      <w:r w:rsidRPr="00173C64">
        <w:rPr>
          <w:rFonts w:ascii="Arial" w:hAnsi="Arial" w:cs="Arial"/>
          <w:smallCaps w:val="0"/>
          <w:sz w:val="24"/>
          <w:szCs w:val="24"/>
        </w:rPr>
        <w:t>Article 5 compliance</w:t>
      </w:r>
      <w:bookmarkEnd w:id="25"/>
    </w:p>
    <w:p w:rsidR="002D18C1" w:rsidRPr="00173C64" w:rsidRDefault="002D18C1" w:rsidP="002D18C1">
      <w:pPr>
        <w:rPr>
          <w:lang w:val="en-US"/>
        </w:rPr>
      </w:pPr>
    </w:p>
    <w:p w:rsidR="00AE091B" w:rsidRPr="00173C64" w:rsidRDefault="00AE091B" w:rsidP="002D18C1">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rsidR="004270ED" w:rsidRPr="00173C64" w:rsidRDefault="004270ED" w:rsidP="002D18C1">
      <w:pPr>
        <w:rPr>
          <w:rFonts w:ascii="Arial" w:hAnsi="Arial" w:cs="Arial"/>
          <w:lang w:val="en-US"/>
        </w:rPr>
      </w:pP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rsidR="004270ED" w:rsidRPr="00173C64" w:rsidRDefault="00173C64" w:rsidP="004270ED">
      <w:pPr>
        <w:pStyle w:val="ListParagraph"/>
        <w:numPr>
          <w:ilvl w:val="0"/>
          <w:numId w:val="23"/>
        </w:numPr>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2D18C1" w:rsidRDefault="00CD2BD0" w:rsidP="002D18C1">
      <w:pPr>
        <w:pStyle w:val="Heading2"/>
        <w:rPr>
          <w:rFonts w:ascii="Arial" w:hAnsi="Arial" w:cs="Arial"/>
          <w:smallCaps w:val="0"/>
          <w:sz w:val="24"/>
          <w:szCs w:val="24"/>
        </w:rPr>
      </w:pPr>
      <w:bookmarkStart w:id="26" w:name="_Toc514091060"/>
      <w:r>
        <w:rPr>
          <w:rFonts w:ascii="Arial" w:hAnsi="Arial" w:cs="Arial"/>
          <w:smallCaps w:val="0"/>
          <w:sz w:val="24"/>
          <w:szCs w:val="24"/>
        </w:rPr>
        <w:t>Communicating privacy information</w:t>
      </w:r>
      <w:bookmarkEnd w:id="26"/>
    </w:p>
    <w:p w:rsidR="002D18C1" w:rsidRDefault="002D18C1" w:rsidP="002D18C1">
      <w:pPr>
        <w:rPr>
          <w:lang w:val="en-US"/>
        </w:rPr>
      </w:pPr>
    </w:p>
    <w:p w:rsidR="002D18C1" w:rsidRDefault="00EE5EAE" w:rsidP="002D18C1">
      <w:pPr>
        <w:rPr>
          <w:rFonts w:ascii="Arial" w:hAnsi="Arial" w:cs="Arial"/>
          <w:lang w:val="en-US"/>
        </w:rPr>
      </w:pPr>
      <w:r>
        <w:rPr>
          <w:rFonts w:ascii="Arial" w:hAnsi="Arial" w:cs="Arial"/>
          <w:lang w:val="en-US"/>
        </w:rPr>
        <w:t>At the Memorial Medical Centre</w:t>
      </w:r>
      <w:r w:rsidR="00CD2BD0">
        <w:rPr>
          <w:rFonts w:ascii="Arial" w:hAnsi="Arial" w:cs="Arial"/>
          <w:lang w:val="en-US"/>
        </w:rPr>
        <w:t>, the practice privacy notice is displayed on o</w:t>
      </w:r>
      <w:r w:rsidR="001F52FA">
        <w:rPr>
          <w:rFonts w:ascii="Arial" w:hAnsi="Arial" w:cs="Arial"/>
          <w:lang w:val="en-US"/>
        </w:rPr>
        <w:t xml:space="preserve">ur website, through signage </w:t>
      </w:r>
      <w:r w:rsidR="00CD2BD0">
        <w:rPr>
          <w:rFonts w:ascii="Arial" w:hAnsi="Arial" w:cs="Arial"/>
          <w:lang w:val="en-US"/>
        </w:rPr>
        <w:t>in the waiting room</w:t>
      </w:r>
      <w:r w:rsidR="001F52FA">
        <w:rPr>
          <w:rFonts w:ascii="Arial" w:hAnsi="Arial" w:cs="Arial"/>
          <w:lang w:val="en-US"/>
        </w:rPr>
        <w:t>,</w:t>
      </w:r>
      <w:r w:rsidR="00CD2BD0">
        <w:rPr>
          <w:rFonts w:ascii="Arial" w:hAnsi="Arial" w:cs="Arial"/>
          <w:lang w:val="en-US"/>
        </w:rPr>
        <w:t xml:space="preserve"> and in writing during patient registration.</w:t>
      </w:r>
      <w:r w:rsidR="001F52FA">
        <w:rPr>
          <w:rFonts w:ascii="Arial" w:hAnsi="Arial" w:cs="Arial"/>
          <w:lang w:val="en-US"/>
        </w:rPr>
        <w:t xml:space="preserve"> </w:t>
      </w:r>
      <w:r w:rsidR="00E102BA">
        <w:rPr>
          <w:rFonts w:ascii="Arial" w:hAnsi="Arial" w:cs="Arial"/>
          <w:lang w:val="en-US"/>
        </w:rPr>
        <w:t>We will:</w:t>
      </w:r>
    </w:p>
    <w:p w:rsidR="00E102BA" w:rsidRDefault="00E102BA" w:rsidP="002D18C1">
      <w:pPr>
        <w:rPr>
          <w:rFonts w:ascii="Arial" w:hAnsi="Arial" w:cs="Arial"/>
          <w:lang w:val="en-US"/>
        </w:rPr>
      </w:pPr>
    </w:p>
    <w:p w:rsidR="00E102BA" w:rsidRDefault="001F52FA" w:rsidP="00E102BA">
      <w:pPr>
        <w:pStyle w:val="ListParagraph"/>
        <w:numPr>
          <w:ilvl w:val="0"/>
          <w:numId w:val="20"/>
        </w:numPr>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rsidR="00E102BA" w:rsidRPr="00E102BA" w:rsidRDefault="001F52FA" w:rsidP="00E102BA">
      <w:pPr>
        <w:pStyle w:val="ListParagraph"/>
        <w:numPr>
          <w:ilvl w:val="0"/>
          <w:numId w:val="20"/>
        </w:numPr>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rsidR="000F35E7" w:rsidRDefault="00E102BA" w:rsidP="000F35E7">
      <w:pPr>
        <w:pStyle w:val="Heading2"/>
        <w:rPr>
          <w:rFonts w:ascii="Arial" w:hAnsi="Arial" w:cs="Arial"/>
          <w:smallCaps w:val="0"/>
          <w:sz w:val="24"/>
          <w:szCs w:val="24"/>
        </w:rPr>
      </w:pPr>
      <w:bookmarkStart w:id="27" w:name="_Toc514091061"/>
      <w:r>
        <w:rPr>
          <w:rFonts w:ascii="Arial" w:hAnsi="Arial" w:cs="Arial"/>
          <w:smallCaps w:val="0"/>
          <w:sz w:val="24"/>
          <w:szCs w:val="24"/>
        </w:rPr>
        <w:t>What data will be collected?</w:t>
      </w:r>
      <w:bookmarkEnd w:id="27"/>
    </w:p>
    <w:p w:rsidR="000F35E7" w:rsidRDefault="000F35E7" w:rsidP="000F35E7">
      <w:pPr>
        <w:rPr>
          <w:lang w:val="en-US"/>
        </w:rPr>
      </w:pPr>
    </w:p>
    <w:p w:rsidR="00E102BA" w:rsidRDefault="00EE5EAE" w:rsidP="00075116">
      <w:pPr>
        <w:rPr>
          <w:rFonts w:ascii="Arial" w:hAnsi="Arial" w:cs="Arial"/>
          <w:lang w:val="en-US"/>
        </w:rPr>
      </w:pPr>
      <w:r>
        <w:rPr>
          <w:rFonts w:ascii="Arial" w:hAnsi="Arial" w:cs="Arial"/>
          <w:lang w:val="en-US"/>
        </w:rPr>
        <w:t>At the Memorial Medical Centre</w:t>
      </w:r>
      <w:r w:rsidR="00E102BA">
        <w:rPr>
          <w:rFonts w:ascii="Arial" w:hAnsi="Arial" w:cs="Arial"/>
          <w:lang w:val="en-US"/>
        </w:rPr>
        <w:t xml:space="preserve">, </w:t>
      </w:r>
      <w:r w:rsidR="00075116">
        <w:rPr>
          <w:rFonts w:ascii="Arial" w:hAnsi="Arial" w:cs="Arial"/>
          <w:lang w:val="en-US"/>
        </w:rPr>
        <w:t>the following data will be collected:</w:t>
      </w:r>
    </w:p>
    <w:p w:rsidR="00075116" w:rsidRDefault="00075116" w:rsidP="00075116">
      <w:pPr>
        <w:rPr>
          <w:rFonts w:ascii="Arial" w:hAnsi="Arial" w:cs="Arial"/>
          <w:lang w:val="en-US"/>
        </w:rPr>
      </w:pPr>
    </w:p>
    <w:p w:rsidR="00075116" w:rsidRDefault="006304AC" w:rsidP="00075116">
      <w:pPr>
        <w:pStyle w:val="ListParagraph"/>
        <w:numPr>
          <w:ilvl w:val="0"/>
          <w:numId w:val="21"/>
        </w:numPr>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rsidR="00075116" w:rsidRDefault="00075116" w:rsidP="00075116">
      <w:pPr>
        <w:pStyle w:val="ListParagraph"/>
        <w:numPr>
          <w:ilvl w:val="0"/>
          <w:numId w:val="21"/>
        </w:numPr>
        <w:rPr>
          <w:rFonts w:ascii="Arial" w:hAnsi="Arial" w:cs="Arial"/>
          <w:lang w:val="en-US"/>
        </w:rPr>
      </w:pPr>
      <w:r>
        <w:rPr>
          <w:rFonts w:ascii="Arial" w:hAnsi="Arial" w:cs="Arial"/>
          <w:lang w:val="en-US"/>
        </w:rPr>
        <w:t>Address and NOK information</w:t>
      </w:r>
    </w:p>
    <w:p w:rsidR="00075116" w:rsidRDefault="00075116" w:rsidP="00075116">
      <w:pPr>
        <w:pStyle w:val="ListParagraph"/>
        <w:numPr>
          <w:ilvl w:val="0"/>
          <w:numId w:val="21"/>
        </w:numPr>
        <w:rPr>
          <w:rFonts w:ascii="Arial" w:hAnsi="Arial" w:cs="Arial"/>
          <w:lang w:val="en-US"/>
        </w:rPr>
      </w:pPr>
      <w:r>
        <w:rPr>
          <w:rFonts w:ascii="Arial" w:hAnsi="Arial" w:cs="Arial"/>
          <w:lang w:val="en-US"/>
        </w:rPr>
        <w:t xml:space="preserve">Medical notes (paper and electronic) </w:t>
      </w:r>
    </w:p>
    <w:p w:rsidR="00075116" w:rsidRDefault="00075116" w:rsidP="00075116">
      <w:pPr>
        <w:pStyle w:val="ListParagraph"/>
        <w:numPr>
          <w:ilvl w:val="0"/>
          <w:numId w:val="21"/>
        </w:numPr>
        <w:rPr>
          <w:rFonts w:ascii="Arial" w:hAnsi="Arial" w:cs="Arial"/>
          <w:lang w:val="en-US"/>
        </w:rPr>
      </w:pPr>
      <w:r>
        <w:rPr>
          <w:rFonts w:ascii="Arial" w:hAnsi="Arial" w:cs="Arial"/>
          <w:lang w:val="en-US"/>
        </w:rPr>
        <w:t>Details of treatment and care, including medications</w:t>
      </w:r>
    </w:p>
    <w:p w:rsidR="00075116" w:rsidRDefault="006304AC" w:rsidP="00075116">
      <w:pPr>
        <w:pStyle w:val="ListParagraph"/>
        <w:numPr>
          <w:ilvl w:val="0"/>
          <w:numId w:val="21"/>
        </w:numPr>
        <w:rPr>
          <w:rFonts w:ascii="Arial" w:hAnsi="Arial" w:cs="Arial"/>
          <w:lang w:val="en-US"/>
        </w:rPr>
      </w:pPr>
      <w:r>
        <w:rPr>
          <w:rFonts w:ascii="Arial" w:hAnsi="Arial" w:cs="Arial"/>
          <w:lang w:val="en-US"/>
        </w:rPr>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rsidR="00075116" w:rsidRPr="00075116" w:rsidRDefault="00075116" w:rsidP="00075116">
      <w:pPr>
        <w:pStyle w:val="ListParagraph"/>
        <w:numPr>
          <w:ilvl w:val="0"/>
          <w:numId w:val="21"/>
        </w:numPr>
        <w:rPr>
          <w:rFonts w:ascii="Arial" w:hAnsi="Arial" w:cs="Arial"/>
          <w:lang w:val="en-US"/>
        </w:rPr>
      </w:pPr>
      <w:r>
        <w:rPr>
          <w:rFonts w:ascii="Arial" w:hAnsi="Arial" w:cs="Arial"/>
          <w:lang w:val="en-US"/>
        </w:rPr>
        <w:t xml:space="preserve">Any other pertinent information </w:t>
      </w:r>
    </w:p>
    <w:p w:rsidR="000F35E7" w:rsidRPr="0079049F" w:rsidRDefault="000F35E7" w:rsidP="000F35E7">
      <w:pPr>
        <w:rPr>
          <w:lang w:val="en-US"/>
        </w:rPr>
      </w:pPr>
    </w:p>
    <w:p w:rsidR="00511D79" w:rsidRDefault="00280636" w:rsidP="00511D79">
      <w:pPr>
        <w:rPr>
          <w:rFonts w:ascii="Arial" w:eastAsia="Times New Roman" w:hAnsi="Arial" w:cs="Arial"/>
          <w:b/>
          <w:sz w:val="24"/>
          <w:szCs w:val="24"/>
        </w:rPr>
      </w:pPr>
      <w:r w:rsidRPr="00280636">
        <w:rPr>
          <w:rFonts w:ascii="Arial" w:eastAsia="Times New Roman" w:hAnsi="Arial" w:cs="Arial"/>
          <w:b/>
          <w:sz w:val="24"/>
          <w:szCs w:val="24"/>
        </w:rPr>
        <w:t>4.5</w:t>
      </w:r>
    </w:p>
    <w:p w:rsidR="00280636" w:rsidRDefault="00280636" w:rsidP="00511D79">
      <w:pPr>
        <w:rPr>
          <w:rFonts w:ascii="Arial" w:eastAsia="Times New Roman" w:hAnsi="Arial" w:cs="Arial"/>
          <w:b/>
          <w:sz w:val="24"/>
          <w:szCs w:val="24"/>
        </w:rPr>
      </w:pPr>
    </w:p>
    <w:p w:rsidR="00280636" w:rsidRPr="00280636" w:rsidRDefault="00280636" w:rsidP="00511D79">
      <w:pPr>
        <w:rPr>
          <w:rFonts w:ascii="Arial" w:eastAsia="Times New Roman" w:hAnsi="Arial" w:cs="Arial"/>
          <w:b/>
          <w:sz w:val="24"/>
          <w:szCs w:val="24"/>
        </w:rPr>
      </w:pPr>
    </w:p>
    <w:p w:rsidR="009C12C1" w:rsidRDefault="00280636" w:rsidP="00280636">
      <w:pPr>
        <w:pStyle w:val="Heading2"/>
        <w:numPr>
          <w:ilvl w:val="0"/>
          <w:numId w:val="0"/>
        </w:numPr>
        <w:ind w:left="576" w:hanging="576"/>
        <w:rPr>
          <w:rFonts w:ascii="Arial" w:hAnsi="Arial" w:cs="Arial"/>
          <w:smallCaps w:val="0"/>
          <w:sz w:val="24"/>
          <w:szCs w:val="24"/>
        </w:rPr>
      </w:pPr>
      <w:bookmarkStart w:id="28" w:name="_Toc514091063"/>
      <w:r>
        <w:rPr>
          <w:rFonts w:ascii="Arial" w:hAnsi="Arial" w:cs="Arial"/>
          <w:smallCaps w:val="0"/>
          <w:sz w:val="24"/>
          <w:szCs w:val="24"/>
        </w:rPr>
        <w:t>4.6 Privacy</w:t>
      </w:r>
      <w:r w:rsidR="006304AC">
        <w:rPr>
          <w:rFonts w:ascii="Arial" w:hAnsi="Arial" w:cs="Arial"/>
          <w:smallCaps w:val="0"/>
          <w:sz w:val="24"/>
          <w:szCs w:val="24"/>
        </w:rPr>
        <w:t xml:space="preserve"> notice c</w:t>
      </w:r>
      <w:r w:rsidR="009C12C1">
        <w:rPr>
          <w:rFonts w:ascii="Arial" w:hAnsi="Arial" w:cs="Arial"/>
          <w:smallCaps w:val="0"/>
          <w:sz w:val="24"/>
          <w:szCs w:val="24"/>
        </w:rPr>
        <w:t>hecklists</w:t>
      </w:r>
      <w:bookmarkEnd w:id="28"/>
    </w:p>
    <w:p w:rsidR="009C12C1" w:rsidRDefault="009C12C1" w:rsidP="000F35E7">
      <w:pPr>
        <w:rPr>
          <w:rFonts w:ascii="Arial" w:hAnsi="Arial" w:cs="Arial"/>
          <w:lang w:val="en-US"/>
        </w:rPr>
      </w:pPr>
    </w:p>
    <w:p w:rsidR="009C12C1" w:rsidRDefault="006304AC" w:rsidP="000F35E7">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8" w:history="1">
        <w:r w:rsidR="009C12C1" w:rsidRPr="009C12C1">
          <w:rPr>
            <w:rStyle w:val="Hyperlink"/>
            <w:rFonts w:ascii="Arial" w:hAnsi="Arial" w:cs="Arial"/>
            <w:lang w:val="en-US"/>
          </w:rPr>
          <w:t>link</w:t>
        </w:r>
      </w:hyperlink>
      <w:r w:rsidR="009C12C1">
        <w:rPr>
          <w:rFonts w:ascii="Arial" w:hAnsi="Arial" w:cs="Arial"/>
          <w:lang w:val="en-US"/>
        </w:rPr>
        <w:t>.</w:t>
      </w:r>
    </w:p>
    <w:p w:rsidR="004D4FB9" w:rsidRDefault="00280636" w:rsidP="00280636">
      <w:pPr>
        <w:pStyle w:val="Heading2"/>
        <w:numPr>
          <w:ilvl w:val="0"/>
          <w:numId w:val="0"/>
        </w:numPr>
        <w:ind w:left="576" w:hanging="576"/>
        <w:rPr>
          <w:rFonts w:ascii="Arial" w:hAnsi="Arial" w:cs="Arial"/>
          <w:smallCaps w:val="0"/>
          <w:sz w:val="24"/>
          <w:szCs w:val="24"/>
        </w:rPr>
      </w:pPr>
      <w:bookmarkStart w:id="29" w:name="_Toc514091064"/>
      <w:r>
        <w:rPr>
          <w:rFonts w:ascii="Arial" w:hAnsi="Arial" w:cs="Arial"/>
          <w:smallCaps w:val="0"/>
          <w:sz w:val="24"/>
          <w:szCs w:val="24"/>
        </w:rPr>
        <w:t>4.7 Privacy</w:t>
      </w:r>
      <w:r w:rsidR="006304AC">
        <w:rPr>
          <w:rFonts w:ascii="Arial" w:hAnsi="Arial" w:cs="Arial"/>
          <w:smallCaps w:val="0"/>
          <w:sz w:val="24"/>
          <w:szCs w:val="24"/>
        </w:rPr>
        <w:t xml:space="preserve"> notice t</w:t>
      </w:r>
      <w:r w:rsidR="004D4FB9">
        <w:rPr>
          <w:rFonts w:ascii="Arial" w:hAnsi="Arial" w:cs="Arial"/>
          <w:smallCaps w:val="0"/>
          <w:sz w:val="24"/>
          <w:szCs w:val="24"/>
        </w:rPr>
        <w:t>emplate</w:t>
      </w:r>
      <w:bookmarkEnd w:id="29"/>
    </w:p>
    <w:p w:rsidR="004D4FB9" w:rsidRDefault="004D4FB9" w:rsidP="000F35E7">
      <w:pPr>
        <w:rPr>
          <w:rFonts w:ascii="Arial" w:hAnsi="Arial" w:cs="Arial"/>
          <w:lang w:val="en-US"/>
        </w:rPr>
      </w:pPr>
    </w:p>
    <w:p w:rsidR="004D4FB9" w:rsidRDefault="004D4FB9" w:rsidP="000F35E7">
      <w:pPr>
        <w:rPr>
          <w:rFonts w:ascii="Arial" w:hAnsi="Arial" w:cs="Arial"/>
          <w:lang w:val="en-US"/>
        </w:rPr>
      </w:pPr>
      <w:r>
        <w:rPr>
          <w:rFonts w:ascii="Arial" w:hAnsi="Arial" w:cs="Arial"/>
          <w:lang w:val="en-US"/>
        </w:rPr>
        <w:t>A privacy notice template can be found at Annex A.</w:t>
      </w:r>
    </w:p>
    <w:p w:rsidR="000F35E7" w:rsidRDefault="00280636" w:rsidP="00280636">
      <w:pPr>
        <w:pStyle w:val="Heading2"/>
        <w:numPr>
          <w:ilvl w:val="0"/>
          <w:numId w:val="0"/>
        </w:numPr>
        <w:ind w:left="576" w:hanging="576"/>
        <w:rPr>
          <w:rFonts w:ascii="Arial" w:hAnsi="Arial" w:cs="Arial"/>
          <w:smallCaps w:val="0"/>
          <w:sz w:val="24"/>
          <w:szCs w:val="24"/>
        </w:rPr>
      </w:pPr>
      <w:r>
        <w:rPr>
          <w:rFonts w:ascii="Arial" w:hAnsi="Arial" w:cs="Arial"/>
          <w:smallCaps w:val="0"/>
          <w:sz w:val="24"/>
          <w:szCs w:val="24"/>
        </w:rPr>
        <w:t>4.8 Summary</w:t>
      </w:r>
    </w:p>
    <w:p w:rsidR="000F35E7" w:rsidRDefault="000F35E7" w:rsidP="000F35E7">
      <w:pPr>
        <w:rPr>
          <w:lang w:val="en-US"/>
        </w:rPr>
      </w:pPr>
    </w:p>
    <w:p w:rsidR="000F35E7" w:rsidRDefault="00634F2D" w:rsidP="000F35E7">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r w:rsidR="008A5497">
        <w:rPr>
          <w:rFonts w:ascii="Arial" w:hAnsi="Arial" w:cs="Arial"/>
          <w:lang w:val="en-US"/>
        </w:rPr>
        <w:t>the Memorial Medical Centre</w:t>
      </w:r>
      <w:r w:rsidRPr="00634F2D">
        <w:rPr>
          <w:rFonts w:ascii="Arial" w:hAnsi="Arial" w:cs="Arial"/>
          <w:lang w:val="en-US"/>
        </w:rPr>
        <w:t xml:space="preserve"> 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rsidR="000F35E7" w:rsidRDefault="000F35E7" w:rsidP="000F35E7">
      <w:pPr>
        <w:rPr>
          <w:lang w:val="en-US"/>
        </w:rPr>
      </w:pPr>
    </w:p>
    <w:p w:rsidR="000F35E7" w:rsidRDefault="000F35E7" w:rsidP="000F35E7">
      <w:pPr>
        <w:rPr>
          <w:lang w:val="en-US"/>
        </w:rPr>
      </w:pPr>
    </w:p>
    <w:p w:rsidR="00791DD4" w:rsidRDefault="00791DD4" w:rsidP="00044905">
      <w:pPr>
        <w:rPr>
          <w:rFonts w:ascii="Arial" w:hAnsi="Arial" w:cs="Arial"/>
          <w:bCs/>
          <w:color w:val="002060"/>
          <w:lang w:eastAsia="en-GB"/>
        </w:rPr>
        <w:sectPr w:rsidR="00791DD4" w:rsidSect="000D002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791DD4" w:rsidRDefault="00280636" w:rsidP="00280636">
      <w:pPr>
        <w:pStyle w:val="Heading2"/>
        <w:numPr>
          <w:ilvl w:val="0"/>
          <w:numId w:val="0"/>
        </w:numPr>
        <w:ind w:left="576" w:hanging="576"/>
        <w:rPr>
          <w:rFonts w:ascii="Arial" w:hAnsi="Arial" w:cs="Arial"/>
          <w:smallCaps w:val="0"/>
          <w:sz w:val="24"/>
          <w:szCs w:val="24"/>
        </w:rPr>
      </w:pPr>
      <w:bookmarkStart w:id="30" w:name="_Toc514091066"/>
      <w:r>
        <w:rPr>
          <w:rFonts w:ascii="Arial" w:hAnsi="Arial" w:cs="Arial"/>
          <w:smallCaps w:val="0"/>
          <w:sz w:val="24"/>
          <w:szCs w:val="24"/>
        </w:rPr>
        <w:t>4.9</w:t>
      </w:r>
      <w:r w:rsidR="007E37DF">
        <w:rPr>
          <w:rFonts w:ascii="Arial" w:hAnsi="Arial" w:cs="Arial"/>
          <w:smallCaps w:val="0"/>
          <w:sz w:val="24"/>
          <w:szCs w:val="24"/>
        </w:rPr>
        <w:t xml:space="preserve"> Practice Privacy N</w:t>
      </w:r>
      <w:r w:rsidR="00791DD4">
        <w:rPr>
          <w:rFonts w:ascii="Arial" w:hAnsi="Arial" w:cs="Arial"/>
          <w:smallCaps w:val="0"/>
          <w:sz w:val="24"/>
          <w:szCs w:val="24"/>
        </w:rPr>
        <w:t>otice</w:t>
      </w:r>
      <w:bookmarkEnd w:id="30"/>
      <w:r w:rsidR="007E37DF">
        <w:rPr>
          <w:rFonts w:ascii="Arial" w:hAnsi="Arial" w:cs="Arial"/>
          <w:smallCaps w:val="0"/>
          <w:sz w:val="24"/>
          <w:szCs w:val="24"/>
        </w:rPr>
        <w:t xml:space="preserve"> For Patients</w:t>
      </w:r>
    </w:p>
    <w:p w:rsidR="00791DD4" w:rsidRDefault="00791DD4" w:rsidP="00044905">
      <w:pPr>
        <w:rPr>
          <w:rFonts w:ascii="Arial" w:hAnsi="Arial" w:cs="Arial"/>
          <w:bCs/>
          <w:color w:val="002060"/>
          <w:lang w:eastAsia="en-GB"/>
        </w:rPr>
      </w:pPr>
    </w:p>
    <w:p w:rsidR="00182759" w:rsidRPr="00F673AD" w:rsidRDefault="008A5497" w:rsidP="00044905">
      <w:pPr>
        <w:rPr>
          <w:rFonts w:ascii="Arial" w:hAnsi="Arial" w:cs="Arial"/>
          <w:bCs/>
          <w:color w:val="1F4E79" w:themeColor="accent5" w:themeShade="80"/>
          <w:lang w:eastAsia="en-GB"/>
        </w:rPr>
      </w:pPr>
      <w:r>
        <w:rPr>
          <w:rFonts w:ascii="Arial" w:hAnsi="Arial" w:cs="Arial"/>
          <w:bCs/>
          <w:color w:val="1F4E79" w:themeColor="accent5" w:themeShade="80"/>
          <w:lang w:eastAsia="en-GB"/>
        </w:rPr>
        <w:t>The Memorial Medical centre</w:t>
      </w:r>
      <w:r w:rsidR="00152800" w:rsidRPr="00F673AD">
        <w:rPr>
          <w:rFonts w:ascii="Arial" w:hAnsi="Arial" w:cs="Arial"/>
          <w:bCs/>
          <w:color w:val="1F4E79" w:themeColor="accent5" w:themeShade="80"/>
          <w:lang w:eastAsia="en-GB"/>
        </w:rPr>
        <w:t xml:space="preserve"> has a legal duty to explain how we use any personal information we collect about you</w:t>
      </w:r>
      <w:r w:rsidR="006304AC" w:rsidRPr="00F673AD">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as a registered patient</w:t>
      </w:r>
      <w:r w:rsidR="00A568A0">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at the practice.</w:t>
      </w:r>
      <w:r w:rsidR="006304AC"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Staff at this practice maintain records about your health and </w:t>
      </w:r>
      <w:r w:rsidR="006304AC" w:rsidRPr="00F673AD">
        <w:rPr>
          <w:rFonts w:ascii="Arial" w:hAnsi="Arial" w:cs="Arial"/>
          <w:bCs/>
          <w:color w:val="1F4E79" w:themeColor="accent5" w:themeShade="80"/>
          <w:lang w:eastAsia="en-GB"/>
        </w:rPr>
        <w:t xml:space="preserve">the </w:t>
      </w:r>
      <w:r w:rsidR="00152800" w:rsidRPr="00F673AD">
        <w:rPr>
          <w:rFonts w:ascii="Arial" w:hAnsi="Arial" w:cs="Arial"/>
          <w:bCs/>
          <w:color w:val="1F4E79" w:themeColor="accent5" w:themeShade="80"/>
          <w:lang w:eastAsia="en-GB"/>
        </w:rPr>
        <w:t xml:space="preserve">treatment you receive in electronic </w:t>
      </w:r>
      <w:r w:rsidR="00E2563B" w:rsidRPr="00F673AD">
        <w:rPr>
          <w:rFonts w:ascii="Arial" w:hAnsi="Arial" w:cs="Arial"/>
          <w:bCs/>
          <w:color w:val="1F4E79" w:themeColor="accent5" w:themeShade="80"/>
          <w:lang w:eastAsia="en-GB"/>
        </w:rPr>
        <w:t xml:space="preserve">and paper </w:t>
      </w:r>
      <w:r w:rsidR="00152800" w:rsidRPr="00F673AD">
        <w:rPr>
          <w:rFonts w:ascii="Arial" w:hAnsi="Arial" w:cs="Arial"/>
          <w:bCs/>
          <w:color w:val="1F4E79" w:themeColor="accent5" w:themeShade="80"/>
          <w:lang w:eastAsia="en-GB"/>
        </w:rPr>
        <w:t>format.</w:t>
      </w:r>
      <w:r w:rsidR="005E2623"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  </w:t>
      </w:r>
    </w:p>
    <w:p w:rsidR="00152800" w:rsidRPr="00F673AD" w:rsidRDefault="00152800" w:rsidP="00044905">
      <w:pPr>
        <w:rPr>
          <w:rFonts w:ascii="Arial" w:hAnsi="Arial" w:cs="Arial"/>
          <w:b/>
          <w:color w:val="1F4E79" w:themeColor="accent5" w:themeShade="80"/>
          <w:lang w:val="en-US"/>
        </w:rPr>
      </w:pPr>
    </w:p>
    <w:p w:rsidR="00182759" w:rsidRPr="00F673AD" w:rsidRDefault="001528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information do we collect about you?</w:t>
      </w:r>
    </w:p>
    <w:p w:rsidR="00152800" w:rsidRPr="00F673AD" w:rsidRDefault="00152800" w:rsidP="00044905">
      <w:pPr>
        <w:rPr>
          <w:rFonts w:ascii="Arial" w:hAnsi="Arial" w:cs="Arial"/>
          <w:b/>
          <w:color w:val="1F4E79" w:themeColor="accent5" w:themeShade="80"/>
          <w:lang w:val="en-US"/>
        </w:rPr>
      </w:pPr>
    </w:p>
    <w:p w:rsidR="00152800" w:rsidRPr="00F673AD" w:rsidRDefault="00152800"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will collect information such as personal details, including name, address, next of kin, records of appointments, visits, telephone calls, your health records, treatment </w:t>
      </w:r>
      <w:r w:rsidR="006304AC" w:rsidRPr="00F673AD">
        <w:rPr>
          <w:rFonts w:ascii="Arial" w:hAnsi="Arial" w:cs="Arial"/>
          <w:color w:val="1F4E79" w:themeColor="accent5" w:themeShade="80"/>
          <w:lang w:val="en-US"/>
        </w:rPr>
        <w:t>and medications, test results, X</w:t>
      </w:r>
      <w:r w:rsidRPr="00F673AD">
        <w:rPr>
          <w:rFonts w:ascii="Arial" w:hAnsi="Arial" w:cs="Arial"/>
          <w:color w:val="1F4E79" w:themeColor="accent5" w:themeShade="80"/>
          <w:lang w:val="en-US"/>
        </w:rPr>
        <w:t>-rays</w:t>
      </w:r>
      <w:r w:rsidR="006304A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etc. and any other relevant information to enable us to deliver effective medical care.</w:t>
      </w:r>
    </w:p>
    <w:p w:rsidR="00152800" w:rsidRPr="00F673AD" w:rsidRDefault="00152800" w:rsidP="00044905">
      <w:pPr>
        <w:rPr>
          <w:rFonts w:ascii="Arial" w:hAnsi="Arial" w:cs="Arial"/>
          <w:color w:val="1F4E79" w:themeColor="accent5" w:themeShade="80"/>
          <w:lang w:val="en-US"/>
        </w:rPr>
      </w:pPr>
    </w:p>
    <w:p w:rsidR="00152800" w:rsidRPr="00F673AD" w:rsidRDefault="00075116"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How we will use your information</w:t>
      </w:r>
    </w:p>
    <w:p w:rsidR="00075116" w:rsidRPr="00F673AD" w:rsidRDefault="00075116" w:rsidP="00044905">
      <w:pPr>
        <w:rPr>
          <w:rFonts w:ascii="Arial" w:hAnsi="Arial" w:cs="Arial"/>
          <w:b/>
          <w:color w:val="1F4E79" w:themeColor="accent5" w:themeShade="80"/>
          <w:lang w:val="en-US"/>
        </w:rPr>
      </w:pPr>
    </w:p>
    <w:p w:rsidR="00075116" w:rsidRPr="00F673AD" w:rsidRDefault="00075116"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data is collected for the purpose o</w:t>
      </w:r>
      <w:r w:rsidR="004D1F5B" w:rsidRPr="00F673AD">
        <w:rPr>
          <w:rFonts w:ascii="Arial" w:hAnsi="Arial" w:cs="Arial"/>
          <w:color w:val="1F4E79" w:themeColor="accent5" w:themeShade="80"/>
          <w:lang w:val="en-US"/>
        </w:rPr>
        <w:t xml:space="preserve">f providing </w:t>
      </w:r>
      <w:r w:rsidR="00FD6F78" w:rsidRPr="00F673AD">
        <w:rPr>
          <w:rFonts w:ascii="Arial" w:hAnsi="Arial" w:cs="Arial"/>
          <w:color w:val="1F4E79" w:themeColor="accent5" w:themeShade="80"/>
          <w:lang w:val="en-US"/>
        </w:rPr>
        <w:t>direct patient care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however, we can disclose this information if it is required by law,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 xml:space="preserve">you give consent or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it is jus</w:t>
      </w:r>
      <w:r w:rsidR="004D1F5B" w:rsidRPr="00F673AD">
        <w:rPr>
          <w:rFonts w:ascii="Arial" w:hAnsi="Arial" w:cs="Arial"/>
          <w:color w:val="1F4E79" w:themeColor="accent5" w:themeShade="80"/>
          <w:lang w:val="en-US"/>
        </w:rPr>
        <w:t xml:space="preserve">tified in the public interest. </w:t>
      </w:r>
      <w:r w:rsidRPr="00F673AD">
        <w:rPr>
          <w:rFonts w:ascii="Arial" w:hAnsi="Arial" w:cs="Arial"/>
          <w:color w:val="1F4E79" w:themeColor="accent5" w:themeShade="80"/>
          <w:lang w:val="en-US"/>
        </w:rPr>
        <w:t xml:space="preserve">The practice may be requested to support </w:t>
      </w:r>
      <w:r w:rsidR="00E2563B" w:rsidRPr="00F673AD">
        <w:rPr>
          <w:rFonts w:ascii="Arial" w:hAnsi="Arial" w:cs="Arial"/>
          <w:color w:val="1F4E79" w:themeColor="accent5" w:themeShade="80"/>
          <w:lang w:val="en-US"/>
        </w:rPr>
        <w:t>research;</w:t>
      </w:r>
      <w:r w:rsidRPr="00F673AD">
        <w:rPr>
          <w:rFonts w:ascii="Arial" w:hAnsi="Arial" w:cs="Arial"/>
          <w:color w:val="1F4E79" w:themeColor="accent5" w:themeShade="80"/>
          <w:lang w:val="en-US"/>
        </w:rPr>
        <w:t xml:space="preserve"> however, we will always gain your consent </w:t>
      </w:r>
      <w:r w:rsidR="00540C4A" w:rsidRPr="00F673AD">
        <w:rPr>
          <w:rFonts w:ascii="Arial" w:hAnsi="Arial" w:cs="Arial"/>
          <w:color w:val="1F4E79" w:themeColor="accent5" w:themeShade="80"/>
          <w:lang w:val="en-US"/>
        </w:rPr>
        <w:t>before sharing your information with medical research databases such as the Clinical Practice Research Datalink and QResearch or others when the law allows.</w:t>
      </w:r>
      <w:r w:rsidR="00FD6F78" w:rsidRPr="00F673AD">
        <w:rPr>
          <w:rFonts w:ascii="Arial" w:hAnsi="Arial" w:cs="Arial"/>
          <w:color w:val="1F4E79" w:themeColor="accent5" w:themeShade="80"/>
          <w:lang w:val="en-US"/>
        </w:rPr>
        <w:t xml:space="preserve"> </w:t>
      </w:r>
    </w:p>
    <w:p w:rsidR="00182759" w:rsidRPr="00F673AD" w:rsidRDefault="00182759" w:rsidP="00044905">
      <w:pPr>
        <w:rPr>
          <w:rFonts w:ascii="Arial" w:hAnsi="Arial" w:cs="Arial"/>
          <w:b/>
          <w:color w:val="1F4E79" w:themeColor="accent5" w:themeShade="80"/>
          <w:lang w:val="en-US"/>
        </w:rPr>
      </w:pPr>
    </w:p>
    <w:p w:rsidR="00182759" w:rsidRPr="00F673AD" w:rsidRDefault="00A72521"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order to comply with its legal obligations</w:t>
      </w:r>
      <w:r w:rsidR="00CC018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practice may send data to NHS Digital when directed by the Secretary of State for Health under the Health and Social Care Act 2012</w:t>
      </w:r>
      <w:r w:rsidR="00075116" w:rsidRPr="00F673AD">
        <w:rPr>
          <w:rFonts w:ascii="Arial" w:hAnsi="Arial" w:cs="Arial"/>
          <w:color w:val="1F4E79" w:themeColor="accent5" w:themeShade="80"/>
          <w:lang w:val="en-US"/>
        </w:rPr>
        <w:t>.</w:t>
      </w:r>
      <w:r w:rsidR="00CC018C" w:rsidRPr="00F673AD">
        <w:rPr>
          <w:rFonts w:ascii="Arial" w:hAnsi="Arial" w:cs="Arial"/>
          <w:color w:val="1F4E79" w:themeColor="accent5" w:themeShade="80"/>
          <w:lang w:val="en-US"/>
        </w:rPr>
        <w:t xml:space="preserve"> </w:t>
      </w:r>
      <w:r w:rsidR="00540C4A" w:rsidRPr="00F673AD">
        <w:rPr>
          <w:rFonts w:ascii="Arial" w:hAnsi="Arial" w:cs="Arial"/>
          <w:color w:val="1F4E79" w:themeColor="accent5" w:themeShade="80"/>
          <w:lang w:val="en-US"/>
        </w:rPr>
        <w:t xml:space="preserve">Additionally, this practice contributes to national clinical audits </w:t>
      </w:r>
      <w:r w:rsidR="00CC018C" w:rsidRPr="00F673AD">
        <w:rPr>
          <w:rFonts w:ascii="Arial" w:hAnsi="Arial" w:cs="Arial"/>
          <w:color w:val="1F4E79" w:themeColor="accent5" w:themeShade="80"/>
          <w:lang w:val="en-US"/>
        </w:rPr>
        <w:t xml:space="preserve">and will send the data that is required by NHS Digital when the law allows. </w:t>
      </w:r>
      <w:r w:rsidR="00540C4A" w:rsidRPr="00F673AD">
        <w:rPr>
          <w:rFonts w:ascii="Arial" w:hAnsi="Arial" w:cs="Arial"/>
          <w:color w:val="1F4E79" w:themeColor="accent5" w:themeShade="80"/>
          <w:lang w:val="en-US"/>
        </w:rPr>
        <w:t>This may include demographic data, such as date of birth, and information about your health which is record</w:t>
      </w:r>
      <w:r w:rsidR="00CC018C" w:rsidRPr="00F673AD">
        <w:rPr>
          <w:rFonts w:ascii="Arial" w:hAnsi="Arial" w:cs="Arial"/>
          <w:color w:val="1F4E79" w:themeColor="accent5" w:themeShade="80"/>
          <w:lang w:val="en-US"/>
        </w:rPr>
        <w:t>ed in coded form;</w:t>
      </w:r>
      <w:r w:rsidR="00540C4A" w:rsidRPr="00F673AD">
        <w:rPr>
          <w:rFonts w:ascii="Arial" w:hAnsi="Arial" w:cs="Arial"/>
          <w:color w:val="1F4E79" w:themeColor="accent5" w:themeShade="80"/>
          <w:lang w:val="en-US"/>
        </w:rPr>
        <w:t xml:space="preserve"> for example, the clinical code for diabetes or high blood pressure.</w:t>
      </w:r>
    </w:p>
    <w:p w:rsidR="00FD6F78" w:rsidRPr="00F673AD" w:rsidRDefault="00FD6F78" w:rsidP="00044905">
      <w:pPr>
        <w:rPr>
          <w:rFonts w:ascii="Arial" w:hAnsi="Arial" w:cs="Arial"/>
          <w:color w:val="1F4E79" w:themeColor="accent5" w:themeShade="80"/>
          <w:lang w:val="en-US"/>
        </w:rPr>
      </w:pPr>
    </w:p>
    <w:p w:rsidR="007B0258" w:rsidRDefault="00FD6F78"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Processing your information</w:t>
      </w:r>
      <w:r w:rsidR="00CC018C" w:rsidRPr="00F673AD">
        <w:rPr>
          <w:rFonts w:ascii="Arial" w:hAnsi="Arial" w:cs="Arial"/>
          <w:color w:val="1F4E79" w:themeColor="accent5" w:themeShade="80"/>
          <w:lang w:val="en-US"/>
        </w:rPr>
        <w:t xml:space="preserve"> in</w:t>
      </w:r>
      <w:r w:rsidRPr="00F673AD">
        <w:rPr>
          <w:rFonts w:ascii="Arial" w:hAnsi="Arial" w:cs="Arial"/>
          <w:color w:val="1F4E79" w:themeColor="accent5" w:themeShade="80"/>
          <w:lang w:val="en-US"/>
        </w:rPr>
        <w:t xml:space="preserve"> this way and obtaining your consent ensures </w:t>
      </w:r>
      <w:r w:rsidR="00CC018C"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 xml:space="preserve">we comply with Articles 6(1)(c), 6(1)(e) and 9(2)(h) of the GDPR.  </w:t>
      </w: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Pr="00F673AD" w:rsidRDefault="002C065A" w:rsidP="00044905">
      <w:pPr>
        <w:rPr>
          <w:rFonts w:ascii="Arial" w:hAnsi="Arial" w:cs="Arial"/>
          <w:color w:val="1F4E79" w:themeColor="accent5" w:themeShade="80"/>
          <w:lang w:val="en-US"/>
        </w:rPr>
      </w:pPr>
    </w:p>
    <w:p w:rsidR="002C065A" w:rsidRPr="002C065A" w:rsidRDefault="002C065A" w:rsidP="002C065A">
      <w:pPr>
        <w:rPr>
          <w:rFonts w:ascii="Arial" w:hAnsi="Arial" w:cs="Arial"/>
          <w:b/>
          <w:color w:val="1F4E79" w:themeColor="accent5" w:themeShade="80"/>
        </w:rPr>
      </w:pPr>
      <w:r w:rsidRPr="002C065A">
        <w:rPr>
          <w:rFonts w:ascii="Arial" w:hAnsi="Arial" w:cs="Arial"/>
          <w:b/>
          <w:color w:val="1F4E79" w:themeColor="accent5" w:themeShade="80"/>
        </w:rPr>
        <w:t>Third Party Processors</w:t>
      </w:r>
    </w:p>
    <w:p w:rsidR="002C065A" w:rsidRDefault="002C065A" w:rsidP="002C065A">
      <w:pPr>
        <w:rPr>
          <w:rFonts w:ascii="Arial" w:hAnsi="Arial" w:cs="Arial"/>
          <w:color w:val="1F4E79" w:themeColor="accent5" w:themeShade="80"/>
        </w:rPr>
      </w:pPr>
      <w:r w:rsidRPr="002C065A">
        <w:rPr>
          <w:rFonts w:ascii="Arial" w:hAnsi="Arial" w:cs="Arial"/>
          <w:color w:val="1F4E79" w:themeColor="accent5" w:themeShade="80"/>
        </w:rPr>
        <w:t>In order to deliver the best possible service, the practice will share data (where required) with other NHS bodies such as other GP practices and hospitals. In addition the practice will use carefully selected third party providers. When we use a third party service provider to process data on our behalf then we will always have an appropriate agreement in place to ensure that they keep the data secure, that they do not share information other than in accordance with our instructions and that they are operating appropriately. Examples of functions that may be carried out by third parties includes:</w:t>
      </w:r>
    </w:p>
    <w:p w:rsidR="00186FD0" w:rsidRPr="002C065A" w:rsidRDefault="00186FD0" w:rsidP="002C065A">
      <w:pPr>
        <w:rPr>
          <w:rFonts w:ascii="Arial" w:hAnsi="Arial" w:cs="Arial"/>
          <w:color w:val="1F4E79" w:themeColor="accent5" w:themeShade="80"/>
        </w:rPr>
      </w:pPr>
    </w:p>
    <w:p w:rsidR="002C065A" w:rsidRDefault="002C065A" w:rsidP="002C065A">
      <w:pPr>
        <w:pStyle w:val="ListParagraph"/>
        <w:widowControl w:val="0"/>
        <w:numPr>
          <w:ilvl w:val="0"/>
          <w:numId w:val="26"/>
        </w:numPr>
        <w:overflowPunct w:val="0"/>
        <w:autoSpaceDE w:val="0"/>
        <w:autoSpaceDN w:val="0"/>
        <w:adjustRightInd w:val="0"/>
        <w:rPr>
          <w:rFonts w:ascii="Arial" w:hAnsi="Arial" w:cs="Arial"/>
          <w:color w:val="1F4E79" w:themeColor="accent5" w:themeShade="80"/>
        </w:rPr>
      </w:pPr>
      <w:r w:rsidRPr="002C065A">
        <w:rPr>
          <w:rFonts w:ascii="Arial" w:hAnsi="Arial" w:cs="Arial"/>
          <w:color w:val="1F4E79" w:themeColor="accent5" w:themeShade="8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186FD0" w:rsidRDefault="00186FD0" w:rsidP="00186FD0">
      <w:pPr>
        <w:pStyle w:val="ListParagraph"/>
        <w:widowControl w:val="0"/>
        <w:overflowPunct w:val="0"/>
        <w:autoSpaceDE w:val="0"/>
        <w:autoSpaceDN w:val="0"/>
        <w:adjustRightInd w:val="0"/>
        <w:rPr>
          <w:rFonts w:ascii="Arial" w:hAnsi="Arial" w:cs="Arial"/>
          <w:color w:val="1F4E79" w:themeColor="accent5" w:themeShade="80"/>
        </w:rPr>
      </w:pPr>
    </w:p>
    <w:p w:rsidR="00186FD0" w:rsidRPr="00186FD0" w:rsidRDefault="00186FD0" w:rsidP="002C065A">
      <w:pPr>
        <w:pStyle w:val="ListParagraph"/>
        <w:widowControl w:val="0"/>
        <w:numPr>
          <w:ilvl w:val="0"/>
          <w:numId w:val="26"/>
        </w:numPr>
        <w:overflowPunct w:val="0"/>
        <w:autoSpaceDE w:val="0"/>
        <w:autoSpaceDN w:val="0"/>
        <w:adjustRightInd w:val="0"/>
        <w:rPr>
          <w:rFonts w:ascii="Arial" w:hAnsi="Arial" w:cs="Arial"/>
          <w:color w:val="1F4E79" w:themeColor="accent5" w:themeShade="80"/>
        </w:rPr>
      </w:pPr>
      <w:r w:rsidRPr="00186FD0">
        <w:rPr>
          <w:rStyle w:val="Emphasis"/>
          <w:rFonts w:ascii="Helvetica" w:hAnsi="Helvetica"/>
          <w:color w:val="1F4E79" w:themeColor="accent5" w:themeShade="80"/>
          <w:bdr w:val="none" w:sz="0" w:space="0" w:color="auto" w:frame="1"/>
          <w:shd w:val="clear" w:color="auto" w:fill="FFFFFF"/>
        </w:rPr>
        <w:t>GP Data for Planning and Research Programme: GP data has a crucial role to play in research and planning which can improve public health, but it is important for patients and the public that this data is made available for appropriate purposes in a secure and trusted manner. This programme is a planned replacement for the GP Extraction Service (GPES) currently used to collect data for planning and research from general practices in England.</w:t>
      </w:r>
      <w:r w:rsidRPr="00186FD0">
        <w:rPr>
          <w:rFonts w:ascii="Helvetica" w:hAnsi="Helvetica"/>
          <w:color w:val="1F4E79" w:themeColor="accent5" w:themeShade="80"/>
        </w:rPr>
        <w:br/>
      </w:r>
      <w:r w:rsidRPr="00186FD0">
        <w:rPr>
          <w:rFonts w:ascii="Helvetica" w:hAnsi="Helvetica"/>
          <w:color w:val="1F4E79" w:themeColor="accent5" w:themeShade="80"/>
          <w:shd w:val="clear" w:color="auto" w:fill="FFFFFF"/>
        </w:rPr>
        <w:t> </w:t>
      </w:r>
      <w:r w:rsidRPr="00186FD0">
        <w:rPr>
          <w:rFonts w:ascii="Helvetica" w:hAnsi="Helvetica"/>
          <w:color w:val="1F4E79" w:themeColor="accent5" w:themeShade="80"/>
        </w:rPr>
        <w:br/>
      </w:r>
      <w:r w:rsidRPr="00186FD0">
        <w:rPr>
          <w:rStyle w:val="Emphasis"/>
          <w:rFonts w:ascii="Helvetica" w:hAnsi="Helvetica"/>
          <w:color w:val="1F4E79" w:themeColor="accent5" w:themeShade="80"/>
          <w:bdr w:val="none" w:sz="0" w:space="0" w:color="auto" w:frame="1"/>
          <w:shd w:val="clear" w:color="auto" w:fill="FFFFFF"/>
        </w:rPr>
        <w:t>It is a legal obligation for the practice to comply with the Data Provision Notice ‘DPN’ for this programme as a result of a new direction from the secretary of state for health and social care as part of the Health and Care Act 2012. Once fully established, this new collection will replace multiple other data collections from general practices including the GPES in due course.</w:t>
      </w:r>
      <w:r w:rsidRPr="00186FD0">
        <w:rPr>
          <w:rFonts w:ascii="Helvetica" w:hAnsi="Helvetica"/>
          <w:color w:val="1F4E79" w:themeColor="accent5" w:themeShade="80"/>
        </w:rPr>
        <w:br/>
      </w:r>
      <w:r w:rsidRPr="00186FD0">
        <w:rPr>
          <w:rFonts w:ascii="Helvetica" w:hAnsi="Helvetica"/>
          <w:color w:val="1F4E79" w:themeColor="accent5" w:themeShade="80"/>
          <w:shd w:val="clear" w:color="auto" w:fill="FFFFFF"/>
        </w:rPr>
        <w:t> </w:t>
      </w:r>
      <w:r w:rsidRPr="00186FD0">
        <w:rPr>
          <w:rFonts w:ascii="Helvetica" w:hAnsi="Helvetica"/>
          <w:color w:val="1F4E79" w:themeColor="accent5" w:themeShade="80"/>
        </w:rPr>
        <w:br/>
      </w:r>
      <w:r w:rsidRPr="00186FD0">
        <w:rPr>
          <w:rStyle w:val="Emphasis"/>
          <w:rFonts w:ascii="Helvetica" w:hAnsi="Helvetica"/>
          <w:color w:val="1F4E79" w:themeColor="accent5" w:themeShade="80"/>
          <w:bdr w:val="none" w:sz="0" w:space="0" w:color="auto" w:frame="1"/>
          <w:shd w:val="clear" w:color="auto" w:fill="FFFFFF"/>
        </w:rPr>
        <w:t>It is important to state that this new GPDPR programme is not a new processing of GP data in any way; what it does is to carry out an ongoing processing i.e. extraction of patients’ data by NHS Digital for planning and research purposes via a more efficient means. NHS Digital has set out that, whilst general practice will still retain data controllership over patient records within their practice, once data has been extracted from patient records and shared with NHS Digital, NHS Digital will be the responsible and accountable data controller under the UK GDPR for data access and dissemination for planning and research. Full details on the processing of patients’ data for this programme can be found in the NHS Digital’ privacy notice here: </w:t>
      </w:r>
      <w:hyperlink r:id="rId15" w:tgtFrame="_blank" w:history="1">
        <w:r w:rsidRPr="00186FD0">
          <w:rPr>
            <w:rStyle w:val="Emphasis"/>
            <w:rFonts w:ascii="Helvetica" w:hAnsi="Helvetica"/>
            <w:color w:val="1F4E79" w:themeColor="accent5" w:themeShade="80"/>
            <w:u w:val="single"/>
            <w:bdr w:val="none" w:sz="0" w:space="0" w:color="auto" w:frame="1"/>
            <w:shd w:val="clear" w:color="auto" w:fill="FFFFFF"/>
          </w:rPr>
          <w:t>https://digital.nhs.uk/data-and-information/data-collections-and-data-sets/data-collections/general-practice-data-for-planning-and-research/transparency-notice</w:t>
        </w:r>
      </w:hyperlink>
    </w:p>
    <w:p w:rsidR="002C065A" w:rsidRPr="00186FD0" w:rsidRDefault="002C065A" w:rsidP="002C065A">
      <w:pPr>
        <w:rPr>
          <w:color w:val="1F4E79" w:themeColor="accent5" w:themeShade="80"/>
        </w:rPr>
      </w:pPr>
    </w:p>
    <w:p w:rsidR="002C065A" w:rsidRDefault="002C065A" w:rsidP="002C065A"/>
    <w:p w:rsidR="00CC018C" w:rsidRPr="00F673AD" w:rsidRDefault="00CC018C" w:rsidP="00044905">
      <w:pPr>
        <w:rPr>
          <w:rFonts w:ascii="Arial" w:hAnsi="Arial" w:cs="Arial"/>
          <w:b/>
          <w:color w:val="1F4E79" w:themeColor="accent5" w:themeShade="80"/>
          <w:lang w:val="en-US"/>
        </w:rPr>
      </w:pPr>
    </w:p>
    <w:p w:rsidR="00DB5E00" w:rsidRPr="00F673AD" w:rsidRDefault="00DB5E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 xml:space="preserve">Maintaining </w:t>
      </w:r>
      <w:r w:rsidR="00E2563B" w:rsidRPr="00F673AD">
        <w:rPr>
          <w:rFonts w:ascii="Arial" w:hAnsi="Arial" w:cs="Arial"/>
          <w:b/>
          <w:color w:val="1F4E79" w:themeColor="accent5" w:themeShade="80"/>
          <w:lang w:val="en-US"/>
        </w:rPr>
        <w:t>c</w:t>
      </w:r>
      <w:r w:rsidRPr="00F673AD">
        <w:rPr>
          <w:rFonts w:ascii="Arial" w:hAnsi="Arial" w:cs="Arial"/>
          <w:b/>
          <w:color w:val="1F4E79" w:themeColor="accent5" w:themeShade="80"/>
          <w:lang w:val="en-US"/>
        </w:rPr>
        <w:t>onfidentiality</w:t>
      </w:r>
      <w:r w:rsidR="00E2563B" w:rsidRPr="00F673AD">
        <w:rPr>
          <w:rFonts w:ascii="Arial" w:hAnsi="Arial" w:cs="Arial"/>
          <w:b/>
          <w:color w:val="1F4E79" w:themeColor="accent5" w:themeShade="80"/>
          <w:lang w:val="en-US"/>
        </w:rPr>
        <w:t xml:space="preserve"> and accessing your records</w:t>
      </w:r>
    </w:p>
    <w:p w:rsidR="00DB5E00" w:rsidRPr="00F673AD" w:rsidRDefault="00DB5E00" w:rsidP="00044905">
      <w:pPr>
        <w:rPr>
          <w:rFonts w:ascii="Arial" w:hAnsi="Arial" w:cs="Arial"/>
          <w:color w:val="1F4E79" w:themeColor="accent5" w:themeShade="80"/>
          <w:lang w:val="en-US"/>
        </w:rPr>
      </w:pPr>
    </w:p>
    <w:p w:rsidR="00E2563B" w:rsidRPr="00F673AD" w:rsidRDefault="00DB5E00" w:rsidP="00044905">
      <w:pPr>
        <w:rPr>
          <w:rFonts w:ascii="Arial" w:hAnsi="Arial" w:cs="Arial"/>
          <w:b/>
          <w:color w:val="1F4E79" w:themeColor="accent5" w:themeShade="80"/>
          <w:lang w:val="en-US"/>
        </w:rPr>
      </w:pPr>
      <w:r w:rsidRPr="00F673AD">
        <w:rPr>
          <w:rFonts w:ascii="Arial" w:hAnsi="Arial" w:cs="Arial"/>
          <w:color w:val="1F4E79" w:themeColor="accent5" w:themeShade="80"/>
          <w:lang w:val="en-US"/>
        </w:rPr>
        <w:t>We ar</w:t>
      </w:r>
      <w:r w:rsidR="004D1F5B" w:rsidRPr="00F673AD">
        <w:rPr>
          <w:rFonts w:ascii="Arial" w:hAnsi="Arial" w:cs="Arial"/>
          <w:color w:val="1F4E79" w:themeColor="accent5" w:themeShade="80"/>
          <w:lang w:val="en-US"/>
        </w:rPr>
        <w:t xml:space="preserve">e committed to maintaining </w:t>
      </w:r>
      <w:r w:rsidRPr="00F673AD">
        <w:rPr>
          <w:rFonts w:ascii="Arial" w:hAnsi="Arial" w:cs="Arial"/>
          <w:color w:val="1F4E79" w:themeColor="accent5" w:themeShade="80"/>
          <w:lang w:val="en-US"/>
        </w:rPr>
        <w:t>confidentiality and protecting the</w:t>
      </w:r>
      <w:r w:rsidR="004D1F5B" w:rsidRPr="00F673AD">
        <w:rPr>
          <w:rFonts w:ascii="Arial" w:hAnsi="Arial" w:cs="Arial"/>
          <w:color w:val="1F4E79" w:themeColor="accent5" w:themeShade="80"/>
          <w:lang w:val="en-US"/>
        </w:rPr>
        <w:t xml:space="preserve"> information we hold about you.</w:t>
      </w:r>
      <w:r w:rsidRPr="00F673AD">
        <w:rPr>
          <w:rFonts w:ascii="Arial" w:hAnsi="Arial" w:cs="Arial"/>
          <w:color w:val="1F4E79" w:themeColor="accent5" w:themeShade="80"/>
          <w:lang w:val="en-US"/>
        </w:rPr>
        <w:t xml:space="preserve"> We adh</w:t>
      </w:r>
      <w:r w:rsidR="00E2563B" w:rsidRPr="00F673AD">
        <w:rPr>
          <w:rFonts w:ascii="Arial" w:hAnsi="Arial" w:cs="Arial"/>
          <w:color w:val="1F4E79" w:themeColor="accent5" w:themeShade="80"/>
          <w:lang w:val="en-US"/>
        </w:rPr>
        <w:t xml:space="preserve">ere to the </w:t>
      </w:r>
      <w:r w:rsidR="00FD6F78" w:rsidRPr="00F673AD">
        <w:rPr>
          <w:rFonts w:ascii="Arial" w:hAnsi="Arial" w:cs="Arial"/>
          <w:color w:val="1F4E79" w:themeColor="accent5" w:themeShade="80"/>
          <w:lang w:val="en-US"/>
        </w:rPr>
        <w:t>General Data Protection Regulation (GDPR)</w:t>
      </w:r>
      <w:r w:rsidR="00E2563B" w:rsidRPr="00F673AD">
        <w:rPr>
          <w:rFonts w:ascii="Arial" w:hAnsi="Arial" w:cs="Arial"/>
          <w:color w:val="1F4E79" w:themeColor="accent5" w:themeShade="80"/>
          <w:lang w:val="en-US"/>
        </w:rPr>
        <w:t>, the NHS Codes of Confidentiality and Security</w:t>
      </w:r>
      <w:r w:rsidR="004D1F5B" w:rsidRPr="00F673AD">
        <w:rPr>
          <w:rFonts w:ascii="Arial" w:hAnsi="Arial" w:cs="Arial"/>
          <w:color w:val="1F4E79" w:themeColor="accent5" w:themeShade="80"/>
          <w:lang w:val="en-US"/>
        </w:rPr>
        <w:t>,</w:t>
      </w:r>
      <w:r w:rsidR="00E2563B" w:rsidRPr="00F673AD">
        <w:rPr>
          <w:rFonts w:ascii="Arial" w:hAnsi="Arial" w:cs="Arial"/>
          <w:color w:val="1F4E79" w:themeColor="accent5" w:themeShade="80"/>
          <w:lang w:val="en-US"/>
        </w:rPr>
        <w:t xml:space="preserve"> as well as guidance issued by the Information Commissioner</w:t>
      </w:r>
      <w:r w:rsidR="004D1F5B" w:rsidRPr="00F673AD">
        <w:rPr>
          <w:rFonts w:ascii="Arial" w:hAnsi="Arial" w:cs="Arial"/>
          <w:color w:val="1F4E79" w:themeColor="accent5" w:themeShade="80"/>
          <w:lang w:val="en-US"/>
        </w:rPr>
        <w:t xml:space="preserve">’s Office (ICO). </w:t>
      </w:r>
      <w:r w:rsidR="00E2563B" w:rsidRPr="00F673AD">
        <w:rPr>
          <w:rFonts w:ascii="Arial" w:hAnsi="Arial" w:cs="Arial"/>
          <w:color w:val="1F4E79" w:themeColor="accent5" w:themeShade="80"/>
          <w:lang w:val="en-US"/>
        </w:rPr>
        <w:t xml:space="preserve">You have a right to </w:t>
      </w:r>
      <w:r w:rsidR="00FE0662" w:rsidRPr="00F673AD">
        <w:rPr>
          <w:rFonts w:ascii="Arial" w:hAnsi="Arial" w:cs="Arial"/>
          <w:color w:val="1F4E79" w:themeColor="accent5" w:themeShade="80"/>
          <w:lang w:val="en-US"/>
        </w:rPr>
        <w:t xml:space="preserve">access </w:t>
      </w:r>
      <w:r w:rsidR="00E2563B" w:rsidRPr="00F673AD">
        <w:rPr>
          <w:rFonts w:ascii="Arial" w:hAnsi="Arial" w:cs="Arial"/>
          <w:color w:val="1F4E79" w:themeColor="accent5" w:themeShade="80"/>
          <w:lang w:val="en-US"/>
        </w:rPr>
        <w:t xml:space="preserve">the information we hold about you, and if you would like to access this information, you will need to complete a Subject Access </w:t>
      </w:r>
      <w:r w:rsidR="004D1F5B" w:rsidRPr="00F673AD">
        <w:rPr>
          <w:rFonts w:ascii="Arial" w:hAnsi="Arial" w:cs="Arial"/>
          <w:color w:val="1F4E79" w:themeColor="accent5" w:themeShade="80"/>
          <w:lang w:val="en-US"/>
        </w:rPr>
        <w:t xml:space="preserve">Request (SAR). </w:t>
      </w:r>
      <w:r w:rsidR="00E2563B" w:rsidRPr="00F673AD">
        <w:rPr>
          <w:rFonts w:ascii="Arial" w:hAnsi="Arial" w:cs="Arial"/>
          <w:color w:val="1F4E79" w:themeColor="accent5" w:themeShade="80"/>
          <w:lang w:val="en-US"/>
        </w:rPr>
        <w:t>Ple</w:t>
      </w:r>
      <w:r w:rsidR="004D1F5B" w:rsidRPr="00F673AD">
        <w:rPr>
          <w:rFonts w:ascii="Arial" w:hAnsi="Arial" w:cs="Arial"/>
          <w:color w:val="1F4E79" w:themeColor="accent5" w:themeShade="80"/>
          <w:lang w:val="en-US"/>
        </w:rPr>
        <w:t>ase ask at reception for a SAR f</w:t>
      </w:r>
      <w:r w:rsidR="00E2563B" w:rsidRPr="00F673AD">
        <w:rPr>
          <w:rFonts w:ascii="Arial" w:hAnsi="Arial" w:cs="Arial"/>
          <w:color w:val="1F4E79" w:themeColor="accent5" w:themeShade="80"/>
          <w:lang w:val="en-US"/>
        </w:rPr>
        <w:t>orm and you will be given further information.</w:t>
      </w:r>
      <w:r w:rsidR="00FE0662" w:rsidRPr="00F673AD">
        <w:rPr>
          <w:rFonts w:ascii="Arial" w:hAnsi="Arial" w:cs="Arial"/>
          <w:color w:val="1F4E79" w:themeColor="accent5" w:themeShade="80"/>
          <w:lang w:val="en-US"/>
        </w:rPr>
        <w:t xml:space="preserve"> </w:t>
      </w:r>
      <w:r w:rsidR="007D098A" w:rsidRPr="00F673AD">
        <w:rPr>
          <w:rFonts w:ascii="Arial" w:hAnsi="Arial" w:cs="Arial"/>
          <w:color w:val="1F4E79" w:themeColor="accent5" w:themeShade="80"/>
          <w:lang w:val="en-US"/>
        </w:rPr>
        <w:t>Furthermore, should</w:t>
      </w:r>
      <w:r w:rsidR="00FE0662" w:rsidRPr="00F673AD">
        <w:rPr>
          <w:rFonts w:ascii="Arial" w:hAnsi="Arial" w:cs="Arial"/>
          <w:color w:val="1F4E79" w:themeColor="accent5" w:themeShade="80"/>
          <w:lang w:val="en-US"/>
        </w:rPr>
        <w:t xml:space="preserve"> you identify any </w:t>
      </w:r>
      <w:r w:rsidR="009404D8" w:rsidRPr="00F673AD">
        <w:rPr>
          <w:rFonts w:ascii="Arial" w:hAnsi="Arial" w:cs="Arial"/>
          <w:color w:val="1F4E79" w:themeColor="accent5" w:themeShade="80"/>
          <w:lang w:val="en-US"/>
        </w:rPr>
        <w:t>inaccuracies;</w:t>
      </w:r>
      <w:r w:rsidR="00FE0662" w:rsidRPr="00F673AD">
        <w:rPr>
          <w:rFonts w:ascii="Arial" w:hAnsi="Arial" w:cs="Arial"/>
          <w:color w:val="1F4E79" w:themeColor="accent5" w:themeShade="80"/>
          <w:lang w:val="en-US"/>
        </w:rPr>
        <w:t xml:space="preserve"> you have a right to have the inaccurate data corrected.</w:t>
      </w:r>
    </w:p>
    <w:p w:rsidR="00E2563B" w:rsidRPr="00F673AD" w:rsidRDefault="00E2563B" w:rsidP="00044905">
      <w:pPr>
        <w:rPr>
          <w:rFonts w:ascii="Arial" w:hAnsi="Arial" w:cs="Arial"/>
          <w:b/>
          <w:color w:val="1F4E79" w:themeColor="accent5" w:themeShade="80"/>
          <w:lang w:val="en-US"/>
        </w:rPr>
      </w:pPr>
    </w:p>
    <w:p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Risk s</w:t>
      </w:r>
      <w:r w:rsidR="0043549F" w:rsidRPr="00F673AD">
        <w:rPr>
          <w:rFonts w:ascii="Arial" w:hAnsi="Arial" w:cs="Arial"/>
          <w:b/>
          <w:color w:val="1F4E79" w:themeColor="accent5" w:themeShade="80"/>
          <w:lang w:val="en-US"/>
        </w:rPr>
        <w:t>tratification</w:t>
      </w:r>
    </w:p>
    <w:p w:rsidR="00182759" w:rsidRPr="00F673AD" w:rsidRDefault="00182759" w:rsidP="00044905">
      <w:pPr>
        <w:rPr>
          <w:rFonts w:ascii="Arial" w:hAnsi="Arial" w:cs="Arial"/>
          <w:b/>
          <w:color w:val="1F4E79" w:themeColor="accent5" w:themeShade="80"/>
          <w:lang w:val="en-US"/>
        </w:rPr>
      </w:pPr>
    </w:p>
    <w:p w:rsidR="00182759"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Risk stratification is a mechanism used to identify and subsequently manage those patients deemed as being at high risk of requiring </w:t>
      </w:r>
      <w:r w:rsidR="004D1F5B" w:rsidRPr="00F673AD">
        <w:rPr>
          <w:rFonts w:ascii="Arial" w:hAnsi="Arial" w:cs="Arial"/>
          <w:color w:val="1F4E79" w:themeColor="accent5" w:themeShade="80"/>
          <w:lang w:val="en-US"/>
        </w:rPr>
        <w:t>urgent or emergency care. Usually this includes</w:t>
      </w:r>
      <w:r w:rsidRPr="00F673AD">
        <w:rPr>
          <w:rFonts w:ascii="Arial" w:hAnsi="Arial" w:cs="Arial"/>
          <w:color w:val="1F4E79" w:themeColor="accent5" w:themeShade="80"/>
          <w:lang w:val="en-US"/>
        </w:rPr>
        <w:t xml:space="preserve"> patients with long-term conditions</w:t>
      </w:r>
      <w:r w:rsidR="004D1F5B" w:rsidRPr="00F673AD">
        <w:rPr>
          <w:rFonts w:ascii="Arial" w:hAnsi="Arial" w:cs="Arial"/>
          <w:color w:val="1F4E79" w:themeColor="accent5" w:themeShade="80"/>
          <w:lang w:val="en-US"/>
        </w:rPr>
        <w:t xml:space="preserve">, e.g. cancer. </w:t>
      </w:r>
      <w:r w:rsidRPr="00F673AD">
        <w:rPr>
          <w:rFonts w:ascii="Arial" w:hAnsi="Arial" w:cs="Arial"/>
          <w:color w:val="1F4E79" w:themeColor="accent5" w:themeShade="80"/>
          <w:lang w:val="en-US"/>
        </w:rPr>
        <w:t xml:space="preserve">Your information is collected by </w:t>
      </w:r>
      <w:r w:rsidR="008A5497">
        <w:rPr>
          <w:rFonts w:ascii="Arial" w:hAnsi="Arial" w:cs="Arial"/>
          <w:color w:val="1F4E79" w:themeColor="accent5" w:themeShade="80"/>
          <w:lang w:val="en-US"/>
        </w:rPr>
        <w:t>a number of sources, including the Memorial Medical Centre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information is processed electronically and given a risk score which is relayed to your GP who can then decide on any necessary actions to ensure </w:t>
      </w:r>
      <w:r w:rsidR="004D1F5B"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you receive the most appropriate care.</w:t>
      </w:r>
    </w:p>
    <w:p w:rsidR="00791DD4" w:rsidRPr="00F673AD" w:rsidRDefault="00791DD4" w:rsidP="00044905">
      <w:pPr>
        <w:rPr>
          <w:rFonts w:ascii="Arial" w:hAnsi="Arial" w:cs="Arial"/>
          <w:b/>
          <w:color w:val="1F4E79" w:themeColor="accent5" w:themeShade="80"/>
          <w:lang w:val="en-US"/>
        </w:rPr>
      </w:pPr>
    </w:p>
    <w:p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Invoice v</w:t>
      </w:r>
      <w:r w:rsidR="0001030F" w:rsidRPr="00F673AD">
        <w:rPr>
          <w:rFonts w:ascii="Arial" w:hAnsi="Arial" w:cs="Arial"/>
          <w:b/>
          <w:color w:val="1F4E79" w:themeColor="accent5" w:themeShade="80"/>
          <w:lang w:val="en-US"/>
        </w:rPr>
        <w:t>alidation</w:t>
      </w:r>
    </w:p>
    <w:p w:rsidR="00182759" w:rsidRPr="00F673AD" w:rsidRDefault="00182759" w:rsidP="00044905">
      <w:pPr>
        <w:rPr>
          <w:rFonts w:ascii="Arial" w:hAnsi="Arial" w:cs="Arial"/>
          <w:b/>
          <w:color w:val="1F4E79" w:themeColor="accent5" w:themeShade="80"/>
          <w:lang w:val="en-US"/>
        </w:rPr>
      </w:pPr>
    </w:p>
    <w:p w:rsidR="0001030F"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Your information may be shared if you have received treatment to determine which </w:t>
      </w:r>
      <w:r w:rsidR="00315752">
        <w:rPr>
          <w:rFonts w:ascii="Arial" w:hAnsi="Arial" w:cs="Arial"/>
          <w:color w:val="1F4E79" w:themeColor="accent5" w:themeShade="80"/>
          <w:lang w:val="en-US"/>
        </w:rPr>
        <w:t>Integrated Care Board (ICB)</w:t>
      </w:r>
      <w:r w:rsidRPr="00F673AD">
        <w:rPr>
          <w:rFonts w:ascii="Arial" w:hAnsi="Arial" w:cs="Arial"/>
          <w:color w:val="1F4E79" w:themeColor="accent5" w:themeShade="80"/>
          <w:lang w:val="en-US"/>
        </w:rPr>
        <w:t xml:space="preserve"> is responsible</w:t>
      </w:r>
      <w:r w:rsidR="004D1F5B" w:rsidRPr="00F673AD">
        <w:rPr>
          <w:rFonts w:ascii="Arial" w:hAnsi="Arial" w:cs="Arial"/>
          <w:color w:val="1F4E79" w:themeColor="accent5" w:themeShade="80"/>
          <w:lang w:val="en-US"/>
        </w:rPr>
        <w:t xml:space="preserve"> for paying for your treatment.</w:t>
      </w:r>
      <w:r w:rsidRPr="00F673AD">
        <w:rPr>
          <w:rFonts w:ascii="Arial" w:hAnsi="Arial" w:cs="Arial"/>
          <w:color w:val="1F4E79" w:themeColor="accent5" w:themeShade="80"/>
          <w:lang w:val="en-US"/>
        </w:rPr>
        <w:t xml:space="preserve"> This information may include your nam</w:t>
      </w:r>
      <w:r w:rsidR="004D1F5B" w:rsidRPr="00F673AD">
        <w:rPr>
          <w:rFonts w:ascii="Arial" w:hAnsi="Arial" w:cs="Arial"/>
          <w:color w:val="1F4E79" w:themeColor="accent5" w:themeShade="80"/>
          <w:lang w:val="en-US"/>
        </w:rPr>
        <w:t xml:space="preserve">e, address and treatment date. </w:t>
      </w:r>
      <w:r w:rsidRPr="00F673AD">
        <w:rPr>
          <w:rFonts w:ascii="Arial" w:hAnsi="Arial" w:cs="Arial"/>
          <w:color w:val="1F4E79" w:themeColor="accent5" w:themeShade="80"/>
          <w:lang w:val="en-US"/>
        </w:rPr>
        <w:t>All of this information is h</w:t>
      </w:r>
      <w:r w:rsidR="004D1F5B" w:rsidRPr="00F673AD">
        <w:rPr>
          <w:rFonts w:ascii="Arial" w:hAnsi="Arial" w:cs="Arial"/>
          <w:color w:val="1F4E79" w:themeColor="accent5" w:themeShade="80"/>
          <w:lang w:val="en-US"/>
        </w:rPr>
        <w:t>eld securely and confidentially;</w:t>
      </w:r>
      <w:r w:rsidRPr="00F673AD">
        <w:rPr>
          <w:rFonts w:ascii="Arial" w:hAnsi="Arial" w:cs="Arial"/>
          <w:color w:val="1F4E79" w:themeColor="accent5" w:themeShade="80"/>
          <w:lang w:val="en-US"/>
        </w:rPr>
        <w:t xml:space="preserve"> it will no</w:t>
      </w:r>
      <w:r w:rsidR="004D1F5B" w:rsidRPr="00F673AD">
        <w:rPr>
          <w:rFonts w:ascii="Arial" w:hAnsi="Arial" w:cs="Arial"/>
          <w:color w:val="1F4E79" w:themeColor="accent5" w:themeShade="80"/>
          <w:lang w:val="en-US"/>
        </w:rPr>
        <w:t>t be used for any other purpose</w:t>
      </w:r>
      <w:r w:rsidRPr="00F673AD">
        <w:rPr>
          <w:rFonts w:ascii="Arial" w:hAnsi="Arial" w:cs="Arial"/>
          <w:color w:val="1F4E79" w:themeColor="accent5" w:themeShade="80"/>
          <w:lang w:val="en-US"/>
        </w:rPr>
        <w:t xml:space="preserve"> or shared with any third parties.</w:t>
      </w:r>
    </w:p>
    <w:p w:rsidR="0001030F" w:rsidRPr="00F673AD" w:rsidRDefault="0001030F" w:rsidP="00044905">
      <w:pPr>
        <w:rPr>
          <w:rFonts w:ascii="Arial" w:hAnsi="Arial" w:cs="Arial"/>
          <w:color w:val="1F4E79" w:themeColor="accent5" w:themeShade="80"/>
          <w:lang w:val="en-US"/>
        </w:rPr>
      </w:pPr>
    </w:p>
    <w:p w:rsidR="0001030F" w:rsidRPr="00F673AD" w:rsidRDefault="0001030F" w:rsidP="00044905">
      <w:pPr>
        <w:rPr>
          <w:rFonts w:ascii="Arial" w:hAnsi="Arial" w:cs="Arial"/>
          <w:b/>
          <w:color w:val="1F4E79" w:themeColor="accent5" w:themeShade="80"/>
          <w:lang w:val="en-US"/>
        </w:rPr>
      </w:pPr>
    </w:p>
    <w:p w:rsidR="00FE0662" w:rsidRPr="00F673AD" w:rsidRDefault="00FE0662"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Retention periods</w:t>
      </w:r>
    </w:p>
    <w:p w:rsidR="00FE0662" w:rsidRPr="00F673AD" w:rsidRDefault="00FE0662" w:rsidP="00044905">
      <w:pPr>
        <w:rPr>
          <w:rFonts w:ascii="Arial" w:hAnsi="Arial" w:cs="Arial"/>
          <w:b/>
          <w:color w:val="1F4E79" w:themeColor="accent5" w:themeShade="80"/>
          <w:lang w:val="en-US"/>
        </w:rPr>
      </w:pPr>
    </w:p>
    <w:p w:rsidR="00FE0662" w:rsidRPr="00F673AD"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accordance with the NHS Codes of Practice for Records Management, your healthcare records will be retained for 10 years after death</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or if a patient emigrates</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for 10 years after the date of emigration. </w:t>
      </w:r>
    </w:p>
    <w:p w:rsidR="00182759" w:rsidRPr="00F673AD" w:rsidRDefault="00182759" w:rsidP="00044905">
      <w:pPr>
        <w:rPr>
          <w:rFonts w:ascii="Arial" w:hAnsi="Arial" w:cs="Arial"/>
          <w:b/>
          <w:color w:val="1F4E79" w:themeColor="accent5" w:themeShade="80"/>
          <w:lang w:val="en-US"/>
        </w:rPr>
      </w:pPr>
    </w:p>
    <w:p w:rsidR="001879BB" w:rsidRDefault="001879BB" w:rsidP="00044905">
      <w:pPr>
        <w:rPr>
          <w:rFonts w:ascii="Arial" w:hAnsi="Arial" w:cs="Arial"/>
          <w:b/>
          <w:color w:val="1F4E79" w:themeColor="accent5" w:themeShade="80"/>
          <w:lang w:val="en-US"/>
        </w:rPr>
      </w:pPr>
    </w:p>
    <w:p w:rsidR="001879BB" w:rsidRDefault="001879BB" w:rsidP="00044905">
      <w:pPr>
        <w:rPr>
          <w:rFonts w:ascii="Arial" w:hAnsi="Arial" w:cs="Arial"/>
          <w:b/>
          <w:color w:val="1F4E79" w:themeColor="accent5" w:themeShade="80"/>
          <w:lang w:val="en-US"/>
        </w:rPr>
      </w:pPr>
    </w:p>
    <w:p w:rsidR="00791DD4" w:rsidRPr="00F673AD" w:rsidRDefault="00791DD4"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to do if you have any questions</w:t>
      </w:r>
    </w:p>
    <w:p w:rsidR="00791DD4" w:rsidRPr="00F673AD" w:rsidRDefault="00791DD4" w:rsidP="00044905">
      <w:pPr>
        <w:rPr>
          <w:rFonts w:ascii="Arial" w:hAnsi="Arial" w:cs="Arial"/>
          <w:b/>
          <w:color w:val="1F4E79" w:themeColor="accent5" w:themeShade="80"/>
          <w:lang w:val="en-US"/>
        </w:rPr>
      </w:pPr>
    </w:p>
    <w:p w:rsidR="00791DD4" w:rsidRPr="00F673AD" w:rsidRDefault="00791DD4"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Should you have any questions about our privacy policy or the information we hold about you, you can:</w:t>
      </w:r>
    </w:p>
    <w:p w:rsidR="00791DD4" w:rsidRPr="00F673AD" w:rsidRDefault="00791DD4" w:rsidP="00044905">
      <w:pPr>
        <w:rPr>
          <w:rFonts w:ascii="Arial" w:hAnsi="Arial" w:cs="Arial"/>
          <w:color w:val="1F4E79" w:themeColor="accent5" w:themeShade="80"/>
          <w:lang w:val="en-US"/>
        </w:rPr>
      </w:pP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C</w:t>
      </w:r>
      <w:r w:rsidR="00791DD4" w:rsidRPr="00F673AD">
        <w:rPr>
          <w:rFonts w:ascii="Arial" w:hAnsi="Arial" w:cs="Arial"/>
          <w:color w:val="1F4E79" w:themeColor="accent5" w:themeShade="80"/>
          <w:lang w:val="en-US"/>
        </w:rPr>
        <w:t xml:space="preserve">ontact </w:t>
      </w:r>
      <w:r w:rsidR="005E2623" w:rsidRPr="00F673AD">
        <w:rPr>
          <w:rFonts w:ascii="Arial" w:hAnsi="Arial" w:cs="Arial"/>
          <w:color w:val="1F4E79" w:themeColor="accent5" w:themeShade="80"/>
          <w:lang w:val="en-US"/>
        </w:rPr>
        <w:t>the practice</w:t>
      </w:r>
      <w:r w:rsidR="00755DCB" w:rsidRPr="00F673AD">
        <w:rPr>
          <w:rFonts w:ascii="Arial" w:hAnsi="Arial" w:cs="Arial"/>
          <w:color w:val="1F4E79" w:themeColor="accent5" w:themeShade="80"/>
          <w:lang w:val="en-US"/>
        </w:rPr>
        <w:t>’s</w:t>
      </w:r>
      <w:r w:rsidR="005E2623" w:rsidRPr="00F673AD">
        <w:rPr>
          <w:rFonts w:ascii="Arial" w:hAnsi="Arial" w:cs="Arial"/>
          <w:color w:val="1F4E79" w:themeColor="accent5" w:themeShade="80"/>
          <w:lang w:val="en-US"/>
        </w:rPr>
        <w:t xml:space="preserve"> data controller </w:t>
      </w:r>
      <w:r w:rsidR="008A5497">
        <w:rPr>
          <w:rFonts w:ascii="Arial" w:hAnsi="Arial" w:cs="Arial"/>
          <w:color w:val="1F4E79" w:themeColor="accent5" w:themeShade="80"/>
          <w:lang w:val="en-US"/>
        </w:rPr>
        <w:t>via email at memorial.manager@nhs.net</w:t>
      </w:r>
      <w:r w:rsidR="005E2623" w:rsidRPr="00F673AD">
        <w:rPr>
          <w:rFonts w:ascii="Arial" w:hAnsi="Arial" w:cs="Arial"/>
          <w:color w:val="1F4E79" w:themeColor="accent5" w:themeShade="80"/>
          <w:lang w:val="en-US"/>
        </w:rPr>
        <w:t>.</w:t>
      </w:r>
      <w:r w:rsidR="00755DCB" w:rsidRPr="00F673AD">
        <w:rPr>
          <w:rFonts w:ascii="Arial" w:hAnsi="Arial" w:cs="Arial"/>
          <w:color w:val="1F4E79" w:themeColor="accent5" w:themeShade="80"/>
          <w:lang w:val="en-US"/>
        </w:rPr>
        <w:t xml:space="preserve"> </w:t>
      </w:r>
      <w:r w:rsidR="005E2623" w:rsidRPr="00F673AD">
        <w:rPr>
          <w:rFonts w:ascii="Arial" w:hAnsi="Arial" w:cs="Arial"/>
          <w:color w:val="1F4E79" w:themeColor="accent5" w:themeShade="80"/>
          <w:lang w:val="en-US"/>
        </w:rPr>
        <w:t xml:space="preserve">GP practices are data controllers for the data they hold about their patients    </w:t>
      </w: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W</w:t>
      </w:r>
      <w:r w:rsidR="00791DD4" w:rsidRPr="00F673AD">
        <w:rPr>
          <w:rFonts w:ascii="Arial" w:hAnsi="Arial" w:cs="Arial"/>
          <w:color w:val="1F4E79" w:themeColor="accent5" w:themeShade="80"/>
          <w:lang w:val="en-US"/>
        </w:rPr>
        <w:t xml:space="preserve">rite to the </w:t>
      </w:r>
      <w:r w:rsidR="005E2623" w:rsidRPr="00F673AD">
        <w:rPr>
          <w:rFonts w:ascii="Arial" w:hAnsi="Arial" w:cs="Arial"/>
          <w:color w:val="1F4E79" w:themeColor="accent5" w:themeShade="80"/>
          <w:lang w:val="en-US"/>
        </w:rPr>
        <w:t>data controller</w:t>
      </w:r>
      <w:r w:rsidR="008A5497">
        <w:rPr>
          <w:rFonts w:ascii="Arial" w:hAnsi="Arial" w:cs="Arial"/>
          <w:color w:val="1F4E79" w:themeColor="accent5" w:themeShade="80"/>
          <w:lang w:val="en-US"/>
        </w:rPr>
        <w:t xml:space="preserve"> at Memorial Medical Centre, Bell Road, Sittingbourne, Kent ME10 4XX</w:t>
      </w: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A</w:t>
      </w:r>
      <w:r w:rsidR="00755DCB" w:rsidRPr="00F673AD">
        <w:rPr>
          <w:rFonts w:ascii="Arial" w:hAnsi="Arial" w:cs="Arial"/>
          <w:color w:val="1F4E79" w:themeColor="accent5" w:themeShade="80"/>
          <w:lang w:val="en-US"/>
        </w:rPr>
        <w:t>sk to speak to</w:t>
      </w:r>
      <w:r w:rsidR="006469BA">
        <w:rPr>
          <w:rFonts w:ascii="Arial" w:hAnsi="Arial" w:cs="Arial"/>
          <w:color w:val="1F4E79" w:themeColor="accent5" w:themeShade="80"/>
          <w:lang w:val="en-US"/>
        </w:rPr>
        <w:t xml:space="preserve"> t</w:t>
      </w:r>
      <w:r w:rsidR="006469BA" w:rsidRPr="00F673AD">
        <w:rPr>
          <w:rFonts w:ascii="Arial" w:hAnsi="Arial" w:cs="Arial"/>
          <w:color w:val="1F4E79" w:themeColor="accent5" w:themeShade="80"/>
          <w:lang w:val="en-US"/>
        </w:rPr>
        <w:t xml:space="preserve">he Data Protection </w:t>
      </w:r>
      <w:r w:rsidR="006469BA">
        <w:rPr>
          <w:rFonts w:ascii="Arial" w:hAnsi="Arial" w:cs="Arial"/>
          <w:color w:val="1F4E79" w:themeColor="accent5" w:themeShade="80"/>
          <w:lang w:val="en-US"/>
        </w:rPr>
        <w:t>Officer (DPO) for Memorial Medical Centre who is Rebecca Unwin</w:t>
      </w:r>
      <w:r w:rsidR="009404D8">
        <w:rPr>
          <w:rFonts w:ascii="Arial" w:hAnsi="Arial" w:cs="Arial"/>
          <w:color w:val="1F4E79" w:themeColor="accent5" w:themeShade="80"/>
          <w:lang w:val="en-US"/>
        </w:rPr>
        <w:t xml:space="preserve"> </w:t>
      </w:r>
      <w:r w:rsidR="006469BA">
        <w:rPr>
          <w:rFonts w:ascii="Arial" w:hAnsi="Arial" w:cs="Arial"/>
          <w:color w:val="1F4E79" w:themeColor="accent5" w:themeShade="80"/>
          <w:lang w:val="en-US"/>
        </w:rPr>
        <w:t xml:space="preserve">or the </w:t>
      </w:r>
      <w:r w:rsidR="00FA7CEC">
        <w:rPr>
          <w:rFonts w:ascii="Arial" w:hAnsi="Arial" w:cs="Arial"/>
          <w:color w:val="1F4E79" w:themeColor="accent5" w:themeShade="80"/>
          <w:lang w:val="en-US"/>
        </w:rPr>
        <w:t xml:space="preserve">Practice </w:t>
      </w:r>
      <w:r w:rsidR="008A5497">
        <w:rPr>
          <w:rFonts w:ascii="Arial" w:hAnsi="Arial" w:cs="Arial"/>
          <w:color w:val="1F4E79" w:themeColor="accent5" w:themeShade="80"/>
          <w:lang w:val="en-US"/>
        </w:rPr>
        <w:t>M</w:t>
      </w:r>
      <w:r w:rsidR="00791DD4" w:rsidRPr="00F673AD">
        <w:rPr>
          <w:rFonts w:ascii="Arial" w:hAnsi="Arial" w:cs="Arial"/>
          <w:color w:val="1F4E79" w:themeColor="accent5" w:themeShade="80"/>
          <w:lang w:val="en-US"/>
        </w:rPr>
        <w:t>anager</w:t>
      </w:r>
      <w:r w:rsidR="00315752">
        <w:rPr>
          <w:rFonts w:ascii="Arial" w:hAnsi="Arial" w:cs="Arial"/>
          <w:color w:val="1F4E79" w:themeColor="accent5" w:themeShade="80"/>
          <w:lang w:val="en-US"/>
        </w:rPr>
        <w:t xml:space="preserve"> </w:t>
      </w:r>
      <w:r w:rsidR="00102688">
        <w:rPr>
          <w:rFonts w:ascii="Arial" w:hAnsi="Arial" w:cs="Arial"/>
          <w:color w:val="1F4E79" w:themeColor="accent5" w:themeShade="80"/>
          <w:lang w:val="en-US"/>
        </w:rPr>
        <w:t>Adrienne Adams.</w:t>
      </w:r>
    </w:p>
    <w:p w:rsidR="005E2623" w:rsidRPr="00F673AD" w:rsidRDefault="005E2623" w:rsidP="005E2623">
      <w:pPr>
        <w:rPr>
          <w:rFonts w:ascii="Arial" w:hAnsi="Arial" w:cs="Arial"/>
          <w:color w:val="1F4E79" w:themeColor="accent5" w:themeShade="80"/>
          <w:lang w:val="en-US"/>
        </w:rPr>
      </w:pPr>
    </w:p>
    <w:p w:rsidR="00FE0662" w:rsidRPr="00F673AD" w:rsidRDefault="00FE0662" w:rsidP="00791DD4">
      <w:pPr>
        <w:rPr>
          <w:rFonts w:ascii="Arial" w:hAnsi="Arial" w:cs="Arial"/>
          <w:b/>
          <w:color w:val="1F4E79" w:themeColor="accent5" w:themeShade="80"/>
          <w:lang w:val="en-US"/>
        </w:rPr>
      </w:pPr>
      <w:r w:rsidRPr="00F673AD">
        <w:rPr>
          <w:rFonts w:ascii="Arial" w:hAnsi="Arial" w:cs="Arial"/>
          <w:b/>
          <w:color w:val="1F4E79" w:themeColor="accent5" w:themeShade="80"/>
          <w:lang w:val="en-US"/>
        </w:rPr>
        <w:t>Complaints</w:t>
      </w:r>
    </w:p>
    <w:p w:rsidR="00FE0662" w:rsidRPr="00F673AD" w:rsidRDefault="00FE0662" w:rsidP="00791DD4">
      <w:pPr>
        <w:rPr>
          <w:rFonts w:ascii="Arial" w:hAnsi="Arial" w:cs="Arial"/>
          <w:b/>
          <w:color w:val="1F4E79" w:themeColor="accent5" w:themeShade="80"/>
          <w:lang w:val="en-US"/>
        </w:rPr>
      </w:pPr>
    </w:p>
    <w:p w:rsidR="00FE0662" w:rsidRPr="00F673AD" w:rsidRDefault="00FE0662" w:rsidP="00791DD4">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In the </w:t>
      </w:r>
      <w:r w:rsidR="00755DCB" w:rsidRPr="00F673AD">
        <w:rPr>
          <w:rFonts w:ascii="Arial" w:hAnsi="Arial" w:cs="Arial"/>
          <w:color w:val="1F4E79" w:themeColor="accent5" w:themeShade="80"/>
          <w:lang w:val="en-US"/>
        </w:rPr>
        <w:t>unlikely event that you are un</w:t>
      </w:r>
      <w:r w:rsidRPr="00F673AD">
        <w:rPr>
          <w:rFonts w:ascii="Arial" w:hAnsi="Arial" w:cs="Arial"/>
          <w:color w:val="1F4E79" w:themeColor="accent5" w:themeShade="80"/>
          <w:lang w:val="en-US"/>
        </w:rPr>
        <w:t>happy with any ele</w:t>
      </w:r>
      <w:r w:rsidR="00755DCB" w:rsidRPr="00F673AD">
        <w:rPr>
          <w:rFonts w:ascii="Arial" w:hAnsi="Arial" w:cs="Arial"/>
          <w:color w:val="1F4E79" w:themeColor="accent5" w:themeShade="80"/>
          <w:lang w:val="en-US"/>
        </w:rPr>
        <w:t>m</w:t>
      </w:r>
      <w:bookmarkStart w:id="31" w:name="_GoBack"/>
      <w:bookmarkEnd w:id="31"/>
      <w:r w:rsidR="00755DCB" w:rsidRPr="00F673AD">
        <w:rPr>
          <w:rFonts w:ascii="Arial" w:hAnsi="Arial" w:cs="Arial"/>
          <w:color w:val="1F4E79" w:themeColor="accent5" w:themeShade="80"/>
          <w:lang w:val="en-US"/>
        </w:rPr>
        <w:t>ent of our data-processing methods</w:t>
      </w:r>
      <w:r w:rsidRPr="00F673AD">
        <w:rPr>
          <w:rFonts w:ascii="Arial" w:hAnsi="Arial" w:cs="Arial"/>
          <w:color w:val="1F4E79" w:themeColor="accent5" w:themeShade="80"/>
          <w:lang w:val="en-US"/>
        </w:rPr>
        <w:t>, you have the right to l</w:t>
      </w:r>
      <w:r w:rsidR="00F673AD" w:rsidRPr="00F673AD">
        <w:rPr>
          <w:rFonts w:ascii="Arial" w:hAnsi="Arial" w:cs="Arial"/>
          <w:color w:val="1F4E79" w:themeColor="accent5" w:themeShade="80"/>
          <w:lang w:val="en-US"/>
        </w:rPr>
        <w:t xml:space="preserve">odge a complaint with the ICO. </w:t>
      </w:r>
      <w:r w:rsidRPr="00F673AD">
        <w:rPr>
          <w:rFonts w:ascii="Arial" w:hAnsi="Arial" w:cs="Arial"/>
          <w:color w:val="1F4E79" w:themeColor="accent5" w:themeShade="80"/>
          <w:lang w:val="en-US"/>
        </w:rPr>
        <w:t>For further details</w:t>
      </w:r>
      <w:r w:rsidR="00F673AD"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visit ico.org.uk and select ‘Raising a concern’. </w:t>
      </w:r>
    </w:p>
    <w:p w:rsidR="005E2623" w:rsidRPr="00F673AD" w:rsidRDefault="005E2623" w:rsidP="00791DD4">
      <w:pPr>
        <w:rPr>
          <w:rFonts w:ascii="Arial" w:hAnsi="Arial" w:cs="Arial"/>
          <w:color w:val="1F4E79" w:themeColor="accent5" w:themeShade="80"/>
          <w:lang w:val="en-US"/>
        </w:rPr>
      </w:pPr>
    </w:p>
    <w:p w:rsidR="00E2563B" w:rsidRPr="00F673AD" w:rsidRDefault="00E2563B" w:rsidP="00E2563B">
      <w:pPr>
        <w:rPr>
          <w:rFonts w:ascii="Arial" w:hAnsi="Arial" w:cs="Arial"/>
          <w:b/>
          <w:color w:val="1F4E79" w:themeColor="accent5" w:themeShade="80"/>
          <w:lang w:val="en-US"/>
        </w:rPr>
      </w:pPr>
      <w:r w:rsidRPr="00F673AD">
        <w:rPr>
          <w:rFonts w:ascii="Arial" w:hAnsi="Arial" w:cs="Arial"/>
          <w:b/>
          <w:color w:val="1F4E79" w:themeColor="accent5" w:themeShade="80"/>
          <w:lang w:val="en-US"/>
        </w:rPr>
        <w:t>Changes to our privacy policy</w:t>
      </w:r>
    </w:p>
    <w:p w:rsidR="00E2563B" w:rsidRPr="00F673AD" w:rsidRDefault="00E2563B" w:rsidP="00E2563B">
      <w:pPr>
        <w:rPr>
          <w:rFonts w:ascii="Arial" w:hAnsi="Arial" w:cs="Arial"/>
          <w:b/>
          <w:color w:val="1F4E79" w:themeColor="accent5" w:themeShade="80"/>
          <w:lang w:val="en-US"/>
        </w:rPr>
      </w:pPr>
    </w:p>
    <w:p w:rsidR="00E2563B" w:rsidRPr="00F673AD" w:rsidRDefault="00E2563B" w:rsidP="00E2563B">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regularly review our privacy policy and any updates will be published on our website, in our newsletter and </w:t>
      </w:r>
      <w:r w:rsidR="007329C3" w:rsidRPr="00F673AD">
        <w:rPr>
          <w:rFonts w:ascii="Arial" w:hAnsi="Arial" w:cs="Arial"/>
          <w:color w:val="1F4E79" w:themeColor="accent5" w:themeShade="80"/>
          <w:lang w:val="en-US"/>
        </w:rPr>
        <w:t xml:space="preserve">on </w:t>
      </w:r>
      <w:r w:rsidRPr="00F673AD">
        <w:rPr>
          <w:rFonts w:ascii="Arial" w:hAnsi="Arial" w:cs="Arial"/>
          <w:color w:val="1F4E79" w:themeColor="accent5" w:themeShade="80"/>
          <w:lang w:val="en-US"/>
        </w:rPr>
        <w:t xml:space="preserve">posters </w:t>
      </w:r>
      <w:r w:rsidR="007329C3" w:rsidRPr="00F673AD">
        <w:rPr>
          <w:rFonts w:ascii="Arial" w:hAnsi="Arial" w:cs="Arial"/>
          <w:color w:val="1F4E79" w:themeColor="accent5" w:themeShade="80"/>
          <w:lang w:val="en-US"/>
        </w:rPr>
        <w:t xml:space="preserve">to reflect the changes. </w:t>
      </w:r>
      <w:r w:rsidR="008A5497">
        <w:rPr>
          <w:rFonts w:ascii="Arial" w:hAnsi="Arial" w:cs="Arial"/>
          <w:color w:val="1F4E79" w:themeColor="accent5" w:themeShade="80"/>
          <w:lang w:val="en-US"/>
        </w:rPr>
        <w:t xml:space="preserve">This policy is to be reviewed </w:t>
      </w:r>
      <w:r w:rsidR="00CD0F90">
        <w:rPr>
          <w:rFonts w:ascii="Arial" w:hAnsi="Arial" w:cs="Arial"/>
          <w:color w:val="1F4E79" w:themeColor="accent5" w:themeShade="80"/>
          <w:lang w:val="en-US"/>
        </w:rPr>
        <w:t>25</w:t>
      </w:r>
      <w:r w:rsidR="00CD0F90" w:rsidRPr="00CD0F90">
        <w:rPr>
          <w:rFonts w:ascii="Arial" w:hAnsi="Arial" w:cs="Arial"/>
          <w:color w:val="1F4E79" w:themeColor="accent5" w:themeShade="80"/>
          <w:vertAlign w:val="superscript"/>
          <w:lang w:val="en-US"/>
        </w:rPr>
        <w:t>th</w:t>
      </w:r>
      <w:r w:rsidR="00CD0F90">
        <w:rPr>
          <w:rFonts w:ascii="Arial" w:hAnsi="Arial" w:cs="Arial"/>
          <w:color w:val="1F4E79" w:themeColor="accent5" w:themeShade="80"/>
          <w:lang w:val="en-US"/>
        </w:rPr>
        <w:t xml:space="preserve"> April 2023.</w:t>
      </w:r>
      <w:r w:rsidRPr="00F673AD">
        <w:rPr>
          <w:rFonts w:ascii="Arial" w:hAnsi="Arial" w:cs="Arial"/>
          <w:color w:val="1F4E79" w:themeColor="accent5" w:themeShade="80"/>
          <w:lang w:val="en-US"/>
        </w:rPr>
        <w:t xml:space="preserve"> </w:t>
      </w:r>
    </w:p>
    <w:p w:rsidR="00791DD4" w:rsidRPr="00F673AD" w:rsidRDefault="00791DD4" w:rsidP="00791DD4">
      <w:pPr>
        <w:rPr>
          <w:rFonts w:ascii="Arial" w:hAnsi="Arial" w:cs="Arial"/>
          <w:color w:val="1F4E79" w:themeColor="accent5" w:themeShade="80"/>
          <w:lang w:val="en-US"/>
        </w:rPr>
      </w:pPr>
    </w:p>
    <w:p w:rsidR="005E2623" w:rsidRPr="00F673AD" w:rsidRDefault="005E2623" w:rsidP="00791DD4">
      <w:pPr>
        <w:rPr>
          <w:rFonts w:ascii="Arial" w:hAnsi="Arial" w:cs="Arial"/>
          <w:color w:val="1F4E79" w:themeColor="accent5" w:themeShade="80"/>
          <w:lang w:val="en-US"/>
        </w:rPr>
      </w:pPr>
    </w:p>
    <w:p w:rsidR="005E2623" w:rsidRPr="00F673AD" w:rsidRDefault="005E2623" w:rsidP="00791DD4">
      <w:pPr>
        <w:rPr>
          <w:rFonts w:ascii="Arial" w:hAnsi="Arial" w:cs="Arial"/>
          <w:color w:val="1F4E79" w:themeColor="accent5" w:themeShade="80"/>
          <w:lang w:val="en-US"/>
        </w:rPr>
      </w:pPr>
    </w:p>
    <w:sectPr w:rsidR="005E2623" w:rsidRPr="00F673AD" w:rsidSect="00791DD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9F" w:rsidRDefault="0054639F" w:rsidP="00D85E4D">
      <w:r>
        <w:separator/>
      </w:r>
    </w:p>
  </w:endnote>
  <w:endnote w:type="continuationSeparator" w:id="0">
    <w:p w:rsidR="0054639F" w:rsidRDefault="0054639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Default="00775A3E">
    <w:pPr>
      <w:pStyle w:val="Footer"/>
      <w:pBdr>
        <w:top w:val="single" w:sz="4" w:space="1" w:color="D9D9D9" w:themeColor="background1" w:themeShade="D9"/>
      </w:pBdr>
      <w:jc w:val="right"/>
    </w:pPr>
  </w:p>
  <w:p w:rsidR="00775A3E" w:rsidRDefault="00775A3E" w:rsidP="003E72F8">
    <w:pPr>
      <w:pStyle w:val="Footer"/>
      <w:rPr>
        <w:rFonts w:ascii="Arial" w:hAnsi="Arial" w:cs="Arial"/>
        <w:sz w:val="16"/>
        <w:szCs w:val="16"/>
      </w:rPr>
    </w:pPr>
    <w:r>
      <w:rPr>
        <w:rFonts w:ascii="Arial" w:hAnsi="Arial" w:cs="Arial"/>
        <w:sz w:val="16"/>
        <w:szCs w:val="16"/>
      </w:rPr>
      <w:tab/>
    </w:r>
  </w:p>
  <w:p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315752">
      <w:rPr>
        <w:rFonts w:ascii="Arial" w:hAnsi="Arial" w:cs="Arial"/>
        <w:noProof/>
      </w:rPr>
      <w:t>8</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9F" w:rsidRDefault="0054639F" w:rsidP="00D85E4D">
      <w:r>
        <w:separator/>
      </w:r>
    </w:p>
  </w:footnote>
  <w:footnote w:type="continuationSeparator" w:id="0">
    <w:p w:rsidR="0054639F" w:rsidRDefault="0054639F"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Pr="00B0585D" w:rsidRDefault="00B0585D" w:rsidP="00675084">
    <w:pPr>
      <w:pStyle w:val="Header"/>
      <w:jc w:val="center"/>
      <w:rPr>
        <w:rFonts w:ascii="Arial" w:hAnsi="Arial" w:cs="Arial"/>
        <w:color w:val="0070C0"/>
        <w:sz w:val="56"/>
        <w:szCs w:val="56"/>
      </w:rPr>
    </w:pPr>
    <w:r w:rsidRPr="00B0585D">
      <w:rPr>
        <w:rFonts w:ascii="Arial" w:hAnsi="Arial" w:cs="Arial"/>
        <w:noProof/>
        <w:color w:val="0070C0"/>
        <w:sz w:val="56"/>
        <w:szCs w:val="56"/>
        <w:lang w:eastAsia="en-GB"/>
      </w:rPr>
      <w:t>Memorial Medical Centre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79CF4C01"/>
    <w:multiLevelType w:val="hybridMultilevel"/>
    <w:tmpl w:val="2F3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02688"/>
    <w:rsid w:val="001126F0"/>
    <w:rsid w:val="00125D19"/>
    <w:rsid w:val="00152800"/>
    <w:rsid w:val="00172ACD"/>
    <w:rsid w:val="00173C64"/>
    <w:rsid w:val="00180865"/>
    <w:rsid w:val="00182759"/>
    <w:rsid w:val="001828B1"/>
    <w:rsid w:val="00186FD0"/>
    <w:rsid w:val="001872B9"/>
    <w:rsid w:val="001879BB"/>
    <w:rsid w:val="00193069"/>
    <w:rsid w:val="001A01D7"/>
    <w:rsid w:val="001B08AC"/>
    <w:rsid w:val="001B15E6"/>
    <w:rsid w:val="001F52FA"/>
    <w:rsid w:val="00222365"/>
    <w:rsid w:val="00231DAE"/>
    <w:rsid w:val="00233E6F"/>
    <w:rsid w:val="00245C51"/>
    <w:rsid w:val="00280636"/>
    <w:rsid w:val="002C065A"/>
    <w:rsid w:val="002C6527"/>
    <w:rsid w:val="002C7508"/>
    <w:rsid w:val="002D18C1"/>
    <w:rsid w:val="002F1096"/>
    <w:rsid w:val="002F7F00"/>
    <w:rsid w:val="00315752"/>
    <w:rsid w:val="00343E43"/>
    <w:rsid w:val="0035306F"/>
    <w:rsid w:val="00357D85"/>
    <w:rsid w:val="00361EBF"/>
    <w:rsid w:val="00366CEC"/>
    <w:rsid w:val="003901C0"/>
    <w:rsid w:val="00390205"/>
    <w:rsid w:val="00395603"/>
    <w:rsid w:val="003D7BC6"/>
    <w:rsid w:val="003E72F8"/>
    <w:rsid w:val="003F36B9"/>
    <w:rsid w:val="00411341"/>
    <w:rsid w:val="00411AF8"/>
    <w:rsid w:val="004270ED"/>
    <w:rsid w:val="0043549F"/>
    <w:rsid w:val="00440372"/>
    <w:rsid w:val="004713AF"/>
    <w:rsid w:val="004763A7"/>
    <w:rsid w:val="004A4118"/>
    <w:rsid w:val="004C1CD9"/>
    <w:rsid w:val="004C7D3A"/>
    <w:rsid w:val="004D1F5B"/>
    <w:rsid w:val="004D4FB9"/>
    <w:rsid w:val="004D6CEF"/>
    <w:rsid w:val="004E458A"/>
    <w:rsid w:val="004F11CB"/>
    <w:rsid w:val="00511D79"/>
    <w:rsid w:val="00515291"/>
    <w:rsid w:val="00540C4A"/>
    <w:rsid w:val="0054639F"/>
    <w:rsid w:val="00574ADC"/>
    <w:rsid w:val="005C0233"/>
    <w:rsid w:val="005E2623"/>
    <w:rsid w:val="005E4FBB"/>
    <w:rsid w:val="006304AC"/>
    <w:rsid w:val="00634F2D"/>
    <w:rsid w:val="00645839"/>
    <w:rsid w:val="006469BA"/>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7E37DF"/>
    <w:rsid w:val="008301A5"/>
    <w:rsid w:val="0084568F"/>
    <w:rsid w:val="008603AE"/>
    <w:rsid w:val="00862EB6"/>
    <w:rsid w:val="00880B0F"/>
    <w:rsid w:val="00882FAB"/>
    <w:rsid w:val="00883B69"/>
    <w:rsid w:val="00890ED5"/>
    <w:rsid w:val="00896912"/>
    <w:rsid w:val="0089707A"/>
    <w:rsid w:val="008A1D86"/>
    <w:rsid w:val="008A36FF"/>
    <w:rsid w:val="008A5497"/>
    <w:rsid w:val="008A5CCE"/>
    <w:rsid w:val="008B6C2E"/>
    <w:rsid w:val="008D5E2A"/>
    <w:rsid w:val="008F185C"/>
    <w:rsid w:val="009275ED"/>
    <w:rsid w:val="009320AB"/>
    <w:rsid w:val="009404D8"/>
    <w:rsid w:val="00940EB7"/>
    <w:rsid w:val="00951D02"/>
    <w:rsid w:val="00965FEA"/>
    <w:rsid w:val="00976991"/>
    <w:rsid w:val="009817D0"/>
    <w:rsid w:val="009A603A"/>
    <w:rsid w:val="009C12C1"/>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0585D"/>
    <w:rsid w:val="00B2339A"/>
    <w:rsid w:val="00B25DB8"/>
    <w:rsid w:val="00B26A39"/>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0F90"/>
    <w:rsid w:val="00CD2BD0"/>
    <w:rsid w:val="00D05574"/>
    <w:rsid w:val="00D17CB5"/>
    <w:rsid w:val="00D513A5"/>
    <w:rsid w:val="00D51935"/>
    <w:rsid w:val="00D74977"/>
    <w:rsid w:val="00D7561B"/>
    <w:rsid w:val="00D76571"/>
    <w:rsid w:val="00D85E4D"/>
    <w:rsid w:val="00DB5E00"/>
    <w:rsid w:val="00DD1199"/>
    <w:rsid w:val="00E102BA"/>
    <w:rsid w:val="00E2563B"/>
    <w:rsid w:val="00E3235D"/>
    <w:rsid w:val="00E35A44"/>
    <w:rsid w:val="00E52340"/>
    <w:rsid w:val="00E53611"/>
    <w:rsid w:val="00E5412E"/>
    <w:rsid w:val="00E542BA"/>
    <w:rsid w:val="00E85096"/>
    <w:rsid w:val="00EB609F"/>
    <w:rsid w:val="00EE5EAE"/>
    <w:rsid w:val="00EE6673"/>
    <w:rsid w:val="00EF5331"/>
    <w:rsid w:val="00F209F4"/>
    <w:rsid w:val="00F454D3"/>
    <w:rsid w:val="00F62162"/>
    <w:rsid w:val="00F673AD"/>
    <w:rsid w:val="00F77CE0"/>
    <w:rsid w:val="00FA5B70"/>
    <w:rsid w:val="00FA7CEC"/>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B6F65A8"/>
  <w15:docId w15:val="{A35A0FFD-4471-4656-A087-DDFAA60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character" w:styleId="Emphasis">
    <w:name w:val="Emphasis"/>
    <w:basedOn w:val="DefaultParagraphFont"/>
    <w:uiPriority w:val="20"/>
    <w:qFormat/>
    <w:rsid w:val="00186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625126/privacy-notice-checklis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hs.us19.list-manage.com/track/click?u=ae3825bedab437264acc6843f&amp;id=aa8fc81f7c&amp;e=9f5ff04a9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C2A9-35B0-4AAC-8E7B-B8FB5CE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Adrienne Adams</cp:lastModifiedBy>
  <cp:revision>23</cp:revision>
  <cp:lastPrinted>2022-04-25T10:58:00Z</cp:lastPrinted>
  <dcterms:created xsi:type="dcterms:W3CDTF">2018-05-15T11:23:00Z</dcterms:created>
  <dcterms:modified xsi:type="dcterms:W3CDTF">2022-08-24T12:20:00Z</dcterms:modified>
</cp:coreProperties>
</file>